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27496" w14:textId="4D3A6CF4" w:rsidR="0016549D" w:rsidRPr="00920CAD" w:rsidRDefault="00EB48CC">
      <w:pPr>
        <w:jc w:val="center"/>
        <w:outlineLvl w:val="0"/>
        <w:rPr>
          <w:rFonts w:ascii="Arial" w:hAnsi="Arial" w:cs="Arial"/>
          <w:b/>
          <w:szCs w:val="24"/>
        </w:rPr>
      </w:pPr>
      <w:r w:rsidRPr="00920CAD">
        <w:rPr>
          <w:rFonts w:ascii="Arial" w:hAnsi="Arial" w:cs="Arial"/>
          <w:b/>
          <w:szCs w:val="24"/>
        </w:rPr>
        <w:t>RESOLUTION NO. 20</w:t>
      </w:r>
      <w:r w:rsidR="00545B27" w:rsidRPr="00920CAD">
        <w:rPr>
          <w:rFonts w:ascii="Arial" w:hAnsi="Arial" w:cs="Arial"/>
          <w:b/>
          <w:szCs w:val="24"/>
        </w:rPr>
        <w:t>1</w:t>
      </w:r>
      <w:r w:rsidR="00170710" w:rsidRPr="00920CAD">
        <w:rPr>
          <w:rFonts w:ascii="Arial" w:hAnsi="Arial" w:cs="Arial"/>
          <w:b/>
          <w:szCs w:val="24"/>
        </w:rPr>
        <w:t>9</w:t>
      </w:r>
      <w:r w:rsidR="0016549D" w:rsidRPr="00920CAD">
        <w:rPr>
          <w:rFonts w:ascii="Arial" w:hAnsi="Arial" w:cs="Arial"/>
          <w:b/>
          <w:szCs w:val="24"/>
        </w:rPr>
        <w:t>-</w:t>
      </w:r>
      <w:r w:rsidR="00657120" w:rsidRPr="00920CAD">
        <w:rPr>
          <w:rFonts w:ascii="Arial" w:hAnsi="Arial" w:cs="Arial"/>
          <w:b/>
          <w:szCs w:val="24"/>
        </w:rPr>
        <w:t>6</w:t>
      </w:r>
      <w:r w:rsidR="0081027F" w:rsidRPr="00920CAD">
        <w:rPr>
          <w:rFonts w:ascii="Arial" w:hAnsi="Arial" w:cs="Arial"/>
          <w:b/>
          <w:szCs w:val="24"/>
        </w:rPr>
        <w:t>-</w:t>
      </w:r>
      <w:r w:rsidR="008F3158" w:rsidRPr="00920CAD">
        <w:rPr>
          <w:rFonts w:ascii="Arial" w:hAnsi="Arial" w:cs="Arial"/>
          <w:b/>
          <w:szCs w:val="24"/>
        </w:rPr>
        <w:t>3</w:t>
      </w:r>
    </w:p>
    <w:p w14:paraId="6C3F5796" w14:textId="77777777" w:rsidR="0016549D" w:rsidRPr="00920CAD" w:rsidRDefault="0016549D">
      <w:pPr>
        <w:jc w:val="center"/>
        <w:rPr>
          <w:rFonts w:ascii="Arial" w:hAnsi="Arial" w:cs="Arial"/>
          <w:b/>
          <w:szCs w:val="24"/>
        </w:rPr>
      </w:pPr>
    </w:p>
    <w:p w14:paraId="550FFF11" w14:textId="63FE3C38" w:rsidR="0016549D" w:rsidRPr="00920CAD" w:rsidRDefault="0016549D">
      <w:pPr>
        <w:ind w:left="720" w:right="720"/>
        <w:jc w:val="both"/>
        <w:rPr>
          <w:rFonts w:ascii="Arial" w:hAnsi="Arial" w:cs="Arial"/>
          <w:b/>
          <w:szCs w:val="24"/>
        </w:rPr>
      </w:pPr>
      <w:r w:rsidRPr="00920CAD">
        <w:rPr>
          <w:rFonts w:ascii="Arial" w:hAnsi="Arial" w:cs="Arial"/>
          <w:b/>
          <w:szCs w:val="24"/>
        </w:rPr>
        <w:t xml:space="preserve">RESOLUTION OF THE BOARD OF DIRECTORS OF THE INLAND EMPIRE UTILITIES AGENCY*, SAN BERNARDINO COUNTY, CALIFORNIA, ESTABLISHING CAPACITY CHARGES, VOLUMETRIC CHARGES, STRENGTH CHARGES, </w:t>
      </w:r>
      <w:r w:rsidR="00244E7C" w:rsidRPr="00920CAD">
        <w:rPr>
          <w:rFonts w:ascii="Arial" w:hAnsi="Arial" w:cs="Arial"/>
          <w:b/>
          <w:szCs w:val="24"/>
        </w:rPr>
        <w:t>AGENCY PROGRAM CHARGES</w:t>
      </w:r>
      <w:r w:rsidR="00EB48CC" w:rsidRPr="00920CAD">
        <w:rPr>
          <w:rFonts w:ascii="Arial" w:hAnsi="Arial" w:cs="Arial"/>
          <w:b/>
          <w:szCs w:val="24"/>
        </w:rPr>
        <w:t>,</w:t>
      </w:r>
      <w:r w:rsidRPr="00920CAD">
        <w:rPr>
          <w:rFonts w:ascii="Arial" w:hAnsi="Arial" w:cs="Arial"/>
          <w:b/>
          <w:szCs w:val="24"/>
        </w:rPr>
        <w:t xml:space="preserve"> </w:t>
      </w:r>
      <w:r w:rsidR="00244E7C" w:rsidRPr="00920CAD">
        <w:rPr>
          <w:rFonts w:ascii="Arial" w:hAnsi="Arial" w:cs="Arial"/>
          <w:b/>
          <w:szCs w:val="24"/>
        </w:rPr>
        <w:t xml:space="preserve">AND </w:t>
      </w:r>
      <w:r w:rsidRPr="00920CAD">
        <w:rPr>
          <w:rFonts w:ascii="Arial" w:hAnsi="Arial" w:cs="Arial"/>
          <w:b/>
          <w:szCs w:val="24"/>
        </w:rPr>
        <w:t xml:space="preserve">APPLICATION FEES FOR </w:t>
      </w:r>
      <w:r w:rsidR="009B692D" w:rsidRPr="00920CAD">
        <w:rPr>
          <w:rFonts w:ascii="Arial" w:hAnsi="Arial" w:cs="Arial"/>
          <w:b/>
          <w:szCs w:val="24"/>
        </w:rPr>
        <w:t>THE</w:t>
      </w:r>
      <w:r w:rsidR="000B46C7" w:rsidRPr="00920CAD">
        <w:rPr>
          <w:rFonts w:ascii="Arial" w:hAnsi="Arial" w:cs="Arial"/>
          <w:b/>
          <w:szCs w:val="24"/>
        </w:rPr>
        <w:t xml:space="preserve"> </w:t>
      </w:r>
      <w:r w:rsidRPr="00920CAD">
        <w:rPr>
          <w:rFonts w:ascii="Arial" w:hAnsi="Arial" w:cs="Arial"/>
          <w:b/>
          <w:szCs w:val="24"/>
        </w:rPr>
        <w:t>NON-RECLAIMABLE WASTEWATER SYSTEM</w:t>
      </w:r>
      <w:r w:rsidR="00AA64FA" w:rsidRPr="00920CAD">
        <w:rPr>
          <w:rFonts w:ascii="Arial" w:hAnsi="Arial" w:cs="Arial"/>
          <w:b/>
          <w:szCs w:val="24"/>
        </w:rPr>
        <w:t xml:space="preserve"> (NRWS) </w:t>
      </w:r>
      <w:r w:rsidRPr="00920CAD">
        <w:rPr>
          <w:rFonts w:ascii="Arial" w:hAnsi="Arial" w:cs="Arial"/>
          <w:b/>
          <w:szCs w:val="24"/>
        </w:rPr>
        <w:t>FOR FISCAL YEAR</w:t>
      </w:r>
      <w:r w:rsidR="00B21DCF" w:rsidRPr="00920CAD">
        <w:rPr>
          <w:rFonts w:ascii="Arial" w:hAnsi="Arial" w:cs="Arial"/>
          <w:b/>
          <w:szCs w:val="24"/>
        </w:rPr>
        <w:t xml:space="preserve"> (FY)</w:t>
      </w:r>
      <w:r w:rsidRPr="00920CAD">
        <w:rPr>
          <w:rFonts w:ascii="Arial" w:hAnsi="Arial" w:cs="Arial"/>
          <w:b/>
          <w:szCs w:val="24"/>
        </w:rPr>
        <w:t xml:space="preserve"> </w:t>
      </w:r>
      <w:r w:rsidR="004F59E9" w:rsidRPr="00920CAD">
        <w:rPr>
          <w:rFonts w:ascii="Arial" w:hAnsi="Arial" w:cs="Arial"/>
          <w:b/>
          <w:szCs w:val="24"/>
        </w:rPr>
        <w:t>201</w:t>
      </w:r>
      <w:r w:rsidR="00170710" w:rsidRPr="00920CAD">
        <w:rPr>
          <w:rFonts w:ascii="Arial" w:hAnsi="Arial" w:cs="Arial"/>
          <w:b/>
          <w:szCs w:val="24"/>
        </w:rPr>
        <w:t>9</w:t>
      </w:r>
      <w:r w:rsidR="004F59E9" w:rsidRPr="00920CAD">
        <w:rPr>
          <w:rFonts w:ascii="Arial" w:hAnsi="Arial" w:cs="Arial"/>
          <w:b/>
          <w:szCs w:val="24"/>
        </w:rPr>
        <w:t>/</w:t>
      </w:r>
      <w:r w:rsidR="00170710" w:rsidRPr="00920CAD">
        <w:rPr>
          <w:rFonts w:ascii="Arial" w:hAnsi="Arial" w:cs="Arial"/>
          <w:b/>
          <w:szCs w:val="24"/>
        </w:rPr>
        <w:t>20</w:t>
      </w:r>
    </w:p>
    <w:p w14:paraId="61B90677" w14:textId="77777777" w:rsidR="0016549D" w:rsidRPr="00920CAD" w:rsidRDefault="0016549D">
      <w:pPr>
        <w:ind w:left="720" w:right="720"/>
        <w:jc w:val="both"/>
        <w:rPr>
          <w:rFonts w:ascii="Arial" w:hAnsi="Arial" w:cs="Arial"/>
          <w:szCs w:val="24"/>
        </w:rPr>
      </w:pPr>
    </w:p>
    <w:p w14:paraId="1239F486" w14:textId="77777777" w:rsidR="00777888" w:rsidRPr="00920CAD" w:rsidRDefault="00777888" w:rsidP="00777888">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xml:space="preserve">, </w:t>
      </w:r>
      <w:r w:rsidR="00DC5BF3" w:rsidRPr="00920CAD">
        <w:rPr>
          <w:rFonts w:ascii="Arial" w:hAnsi="Arial" w:cs="Arial"/>
          <w:szCs w:val="24"/>
        </w:rPr>
        <w:t xml:space="preserve">NRWS </w:t>
      </w:r>
      <w:r w:rsidR="00DC5BF3" w:rsidRPr="00920CAD">
        <w:rPr>
          <w:rFonts w:ascii="Arial" w:hAnsi="Arial" w:cs="Arial"/>
          <w:i/>
          <w:szCs w:val="24"/>
        </w:rPr>
        <w:t>W</w:t>
      </w:r>
      <w:r w:rsidR="004C3A08" w:rsidRPr="00920CAD">
        <w:rPr>
          <w:rFonts w:ascii="Arial" w:hAnsi="Arial" w:cs="Arial"/>
          <w:i/>
          <w:szCs w:val="24"/>
        </w:rPr>
        <w:t xml:space="preserve">astewater </w:t>
      </w:r>
      <w:r w:rsidR="00DC5BF3" w:rsidRPr="00920CAD">
        <w:rPr>
          <w:rFonts w:ascii="Arial" w:hAnsi="Arial" w:cs="Arial"/>
          <w:i/>
          <w:szCs w:val="24"/>
        </w:rPr>
        <w:t>D</w:t>
      </w:r>
      <w:r w:rsidR="004C3A08" w:rsidRPr="00920CAD">
        <w:rPr>
          <w:rFonts w:ascii="Arial" w:hAnsi="Arial" w:cs="Arial"/>
          <w:i/>
          <w:szCs w:val="24"/>
        </w:rPr>
        <w:t xml:space="preserve">isposal </w:t>
      </w:r>
      <w:r w:rsidR="00DC5BF3" w:rsidRPr="00920CAD">
        <w:rPr>
          <w:rFonts w:ascii="Arial" w:hAnsi="Arial" w:cs="Arial"/>
          <w:i/>
          <w:szCs w:val="24"/>
        </w:rPr>
        <w:t>A</w:t>
      </w:r>
      <w:r w:rsidR="004C3A08" w:rsidRPr="00920CAD">
        <w:rPr>
          <w:rFonts w:ascii="Arial" w:hAnsi="Arial" w:cs="Arial"/>
          <w:i/>
          <w:szCs w:val="24"/>
        </w:rPr>
        <w:t>greement</w:t>
      </w:r>
      <w:r w:rsidR="002B539A" w:rsidRPr="00920CAD">
        <w:rPr>
          <w:rFonts w:ascii="Arial" w:hAnsi="Arial" w:cs="Arial"/>
          <w:i/>
          <w:szCs w:val="24"/>
        </w:rPr>
        <w:t xml:space="preserve"> </w:t>
      </w:r>
      <w:r w:rsidR="00203B70" w:rsidRPr="00920CAD">
        <w:rPr>
          <w:rFonts w:ascii="Arial" w:hAnsi="Arial" w:cs="Arial"/>
          <w:i/>
          <w:szCs w:val="24"/>
        </w:rPr>
        <w:t xml:space="preserve">No. </w:t>
      </w:r>
      <w:r w:rsidR="002B539A" w:rsidRPr="00920CAD">
        <w:rPr>
          <w:rFonts w:ascii="Arial" w:hAnsi="Arial" w:cs="Arial"/>
          <w:i/>
          <w:szCs w:val="24"/>
        </w:rPr>
        <w:t>4830</w:t>
      </w:r>
      <w:r w:rsidR="004C3A08" w:rsidRPr="00920CAD">
        <w:rPr>
          <w:rFonts w:ascii="Arial" w:hAnsi="Arial" w:cs="Arial"/>
          <w:szCs w:val="24"/>
        </w:rPr>
        <w:t xml:space="preserve"> </w:t>
      </w:r>
      <w:r w:rsidR="00203B70" w:rsidRPr="00920CAD">
        <w:rPr>
          <w:rFonts w:ascii="Arial" w:hAnsi="Arial" w:cs="Arial"/>
          <w:szCs w:val="24"/>
        </w:rPr>
        <w:t xml:space="preserve">(Agreement) </w:t>
      </w:r>
      <w:r w:rsidR="00A55A60" w:rsidRPr="00920CAD">
        <w:rPr>
          <w:rFonts w:ascii="Arial" w:hAnsi="Arial" w:cs="Arial"/>
          <w:szCs w:val="24"/>
        </w:rPr>
        <w:t xml:space="preserve">has been adopted between </w:t>
      </w:r>
      <w:r w:rsidR="00203B70" w:rsidRPr="00920CAD">
        <w:rPr>
          <w:rFonts w:ascii="Arial" w:hAnsi="Arial" w:cs="Arial"/>
          <w:szCs w:val="24"/>
        </w:rPr>
        <w:t>County Sanitation Districts of Los Angeles County (CSDLAC) and Inland Empire Utilities Agency (Agency);</w:t>
      </w:r>
      <w:r w:rsidRPr="00920CAD">
        <w:rPr>
          <w:rFonts w:ascii="Arial" w:hAnsi="Arial" w:cs="Arial"/>
          <w:szCs w:val="24"/>
        </w:rPr>
        <w:t xml:space="preserve"> </w:t>
      </w:r>
    </w:p>
    <w:p w14:paraId="546684BB" w14:textId="77777777" w:rsidR="00D13003" w:rsidRPr="00920CAD" w:rsidRDefault="00D13003" w:rsidP="00777888">
      <w:pPr>
        <w:ind w:firstLine="720"/>
        <w:jc w:val="both"/>
        <w:rPr>
          <w:rFonts w:ascii="Arial" w:hAnsi="Arial" w:cs="Arial"/>
          <w:szCs w:val="24"/>
        </w:rPr>
      </w:pPr>
    </w:p>
    <w:p w14:paraId="7BFEE1C8" w14:textId="77777777" w:rsidR="004C3A08" w:rsidRPr="00920CAD" w:rsidRDefault="004C3A08" w:rsidP="004C3A08">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xml:space="preserve">, it is necessary to establish a rate structure </w:t>
      </w:r>
      <w:r w:rsidR="00717877" w:rsidRPr="00920CAD">
        <w:rPr>
          <w:rFonts w:ascii="Arial" w:hAnsi="Arial" w:cs="Arial"/>
          <w:szCs w:val="24"/>
        </w:rPr>
        <w:t>for the</w:t>
      </w:r>
      <w:r w:rsidRPr="00920CAD">
        <w:rPr>
          <w:rFonts w:ascii="Arial" w:hAnsi="Arial" w:cs="Arial"/>
          <w:szCs w:val="24"/>
        </w:rPr>
        <w:t xml:space="preserve"> collect</w:t>
      </w:r>
      <w:r w:rsidR="00717877" w:rsidRPr="00920CAD">
        <w:rPr>
          <w:rFonts w:ascii="Arial" w:hAnsi="Arial" w:cs="Arial"/>
          <w:szCs w:val="24"/>
        </w:rPr>
        <w:t xml:space="preserve">ion of </w:t>
      </w:r>
      <w:r w:rsidRPr="00920CAD">
        <w:rPr>
          <w:rFonts w:ascii="Arial" w:hAnsi="Arial" w:cs="Arial"/>
          <w:szCs w:val="24"/>
        </w:rPr>
        <w:t>cost</w:t>
      </w:r>
      <w:r w:rsidR="00717877" w:rsidRPr="00920CAD">
        <w:rPr>
          <w:rFonts w:ascii="Arial" w:hAnsi="Arial" w:cs="Arial"/>
          <w:szCs w:val="24"/>
        </w:rPr>
        <w:t>s</w:t>
      </w:r>
      <w:r w:rsidRPr="00920CAD">
        <w:rPr>
          <w:rFonts w:ascii="Arial" w:hAnsi="Arial" w:cs="Arial"/>
          <w:szCs w:val="24"/>
        </w:rPr>
        <w:t xml:space="preserve"> associated for the sewerage</w:t>
      </w:r>
      <w:r w:rsidR="00717877" w:rsidRPr="00920CAD">
        <w:rPr>
          <w:rFonts w:ascii="Arial" w:hAnsi="Arial" w:cs="Arial"/>
          <w:szCs w:val="24"/>
        </w:rPr>
        <w:t xml:space="preserve"> service</w:t>
      </w:r>
      <w:r w:rsidR="00546398" w:rsidRPr="00920CAD">
        <w:rPr>
          <w:rFonts w:ascii="Arial" w:hAnsi="Arial" w:cs="Arial"/>
          <w:szCs w:val="24"/>
        </w:rPr>
        <w:t xml:space="preserve"> under this </w:t>
      </w:r>
      <w:r w:rsidR="001B04F0" w:rsidRPr="00920CAD">
        <w:rPr>
          <w:rFonts w:ascii="Arial" w:hAnsi="Arial" w:cs="Arial"/>
          <w:szCs w:val="24"/>
        </w:rPr>
        <w:t>A</w:t>
      </w:r>
      <w:r w:rsidR="00546398" w:rsidRPr="00920CAD">
        <w:rPr>
          <w:rFonts w:ascii="Arial" w:hAnsi="Arial" w:cs="Arial"/>
          <w:szCs w:val="24"/>
        </w:rPr>
        <w:t>greement</w:t>
      </w:r>
      <w:r w:rsidR="00717877" w:rsidRPr="00920CAD">
        <w:rPr>
          <w:rFonts w:ascii="Arial" w:hAnsi="Arial" w:cs="Arial"/>
          <w:szCs w:val="24"/>
        </w:rPr>
        <w:t>;</w:t>
      </w:r>
    </w:p>
    <w:p w14:paraId="7C28AC6A" w14:textId="77777777" w:rsidR="004C3A08" w:rsidRPr="00920CAD" w:rsidRDefault="004C3A08" w:rsidP="004C3A08">
      <w:pPr>
        <w:ind w:firstLine="720"/>
        <w:jc w:val="both"/>
        <w:rPr>
          <w:rFonts w:ascii="Arial" w:hAnsi="Arial" w:cs="Arial"/>
          <w:szCs w:val="24"/>
        </w:rPr>
      </w:pPr>
    </w:p>
    <w:p w14:paraId="3F6B5AF7" w14:textId="77777777" w:rsidR="00777888" w:rsidRPr="00920CAD" w:rsidRDefault="00777888" w:rsidP="00777888">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xml:space="preserve">, it is necessary to </w:t>
      </w:r>
      <w:r w:rsidR="004802FC" w:rsidRPr="00920CAD">
        <w:rPr>
          <w:rFonts w:ascii="Arial" w:hAnsi="Arial" w:cs="Arial"/>
          <w:szCs w:val="24"/>
        </w:rPr>
        <w:t>allocate</w:t>
      </w:r>
      <w:r w:rsidRPr="00920CAD">
        <w:rPr>
          <w:rFonts w:ascii="Arial" w:hAnsi="Arial" w:cs="Arial"/>
          <w:szCs w:val="24"/>
        </w:rPr>
        <w:t xml:space="preserve"> </w:t>
      </w:r>
      <w:r w:rsidR="00D91114" w:rsidRPr="00920CAD">
        <w:rPr>
          <w:rFonts w:ascii="Arial" w:hAnsi="Arial" w:cs="Arial"/>
          <w:szCs w:val="24"/>
        </w:rPr>
        <w:t>User</w:t>
      </w:r>
      <w:r w:rsidRPr="00920CAD">
        <w:rPr>
          <w:rFonts w:ascii="Arial" w:hAnsi="Arial" w:cs="Arial"/>
          <w:szCs w:val="24"/>
        </w:rPr>
        <w:t xml:space="preserve"> with </w:t>
      </w:r>
      <w:r w:rsidR="003838DD" w:rsidRPr="00920CAD">
        <w:rPr>
          <w:rFonts w:ascii="Arial" w:hAnsi="Arial" w:cs="Arial"/>
          <w:szCs w:val="24"/>
        </w:rPr>
        <w:t xml:space="preserve">Non Reclaimable Wastewater System </w:t>
      </w:r>
      <w:r w:rsidR="006F504C" w:rsidRPr="00920CAD">
        <w:rPr>
          <w:rFonts w:ascii="Arial" w:hAnsi="Arial" w:cs="Arial"/>
          <w:szCs w:val="24"/>
        </w:rPr>
        <w:t>Capacity Unit (</w:t>
      </w:r>
      <w:r w:rsidR="003838DD" w:rsidRPr="00920CAD">
        <w:rPr>
          <w:rFonts w:ascii="Arial" w:hAnsi="Arial" w:cs="Arial"/>
          <w:szCs w:val="24"/>
        </w:rPr>
        <w:t>NRWS</w:t>
      </w:r>
      <w:r w:rsidR="006F504C" w:rsidRPr="00920CAD">
        <w:rPr>
          <w:rFonts w:ascii="Arial" w:hAnsi="Arial" w:cs="Arial"/>
          <w:szCs w:val="24"/>
        </w:rPr>
        <w:t xml:space="preserve">CU), </w:t>
      </w:r>
      <w:r w:rsidRPr="00920CAD">
        <w:rPr>
          <w:rFonts w:ascii="Arial" w:hAnsi="Arial" w:cs="Arial"/>
          <w:szCs w:val="24"/>
        </w:rPr>
        <w:t>in order to collect such charges</w:t>
      </w:r>
      <w:r w:rsidR="007711A1" w:rsidRPr="00920CAD">
        <w:rPr>
          <w:rFonts w:ascii="Arial" w:hAnsi="Arial" w:cs="Arial"/>
          <w:szCs w:val="24"/>
        </w:rPr>
        <w:t>;</w:t>
      </w:r>
      <w:r w:rsidR="00A14A97" w:rsidRPr="00920CAD">
        <w:rPr>
          <w:rFonts w:ascii="Arial" w:hAnsi="Arial" w:cs="Arial"/>
          <w:szCs w:val="24"/>
        </w:rPr>
        <w:t xml:space="preserve">  </w:t>
      </w:r>
    </w:p>
    <w:p w14:paraId="148D8455" w14:textId="77777777" w:rsidR="0016549D" w:rsidRPr="00920CAD" w:rsidRDefault="0016549D">
      <w:pPr>
        <w:ind w:firstLine="720"/>
        <w:jc w:val="both"/>
        <w:rPr>
          <w:rFonts w:ascii="Arial" w:hAnsi="Arial" w:cs="Arial"/>
          <w:b/>
          <w:szCs w:val="24"/>
        </w:rPr>
      </w:pPr>
    </w:p>
    <w:p w14:paraId="141A791D" w14:textId="3D833EE1" w:rsidR="002779B8" w:rsidRPr="00920CAD" w:rsidRDefault="00C72D9D" w:rsidP="00C72D9D">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xml:space="preserve">, </w:t>
      </w:r>
      <w:r w:rsidR="005831AC" w:rsidRPr="00920CAD">
        <w:rPr>
          <w:rFonts w:ascii="Arial" w:hAnsi="Arial" w:cs="Arial"/>
          <w:szCs w:val="24"/>
        </w:rPr>
        <w:t xml:space="preserve">it is necessary to allocate </w:t>
      </w:r>
      <w:r w:rsidR="002779B8" w:rsidRPr="00920CAD">
        <w:rPr>
          <w:rFonts w:ascii="Arial" w:hAnsi="Arial" w:cs="Arial"/>
          <w:szCs w:val="24"/>
        </w:rPr>
        <w:t xml:space="preserve">individual </w:t>
      </w:r>
      <w:r w:rsidR="00D91114" w:rsidRPr="00920CAD">
        <w:rPr>
          <w:rFonts w:ascii="Arial" w:hAnsi="Arial" w:cs="Arial"/>
          <w:szCs w:val="24"/>
        </w:rPr>
        <w:t>Users</w:t>
      </w:r>
      <w:r w:rsidR="005831AC" w:rsidRPr="00920CAD">
        <w:rPr>
          <w:rFonts w:ascii="Arial" w:hAnsi="Arial" w:cs="Arial"/>
          <w:szCs w:val="24"/>
        </w:rPr>
        <w:t xml:space="preserve"> the</w:t>
      </w:r>
      <w:r w:rsidR="00F14EC1" w:rsidRPr="00920CAD">
        <w:rPr>
          <w:rFonts w:ascii="Arial" w:hAnsi="Arial" w:cs="Arial"/>
          <w:szCs w:val="24"/>
        </w:rPr>
        <w:t>ir fractional contribution of</w:t>
      </w:r>
      <w:r w:rsidR="005831AC" w:rsidRPr="00920CAD">
        <w:rPr>
          <w:rFonts w:ascii="Arial" w:hAnsi="Arial" w:cs="Arial"/>
          <w:szCs w:val="24"/>
        </w:rPr>
        <w:t xml:space="preserve"> </w:t>
      </w:r>
      <w:r w:rsidR="00F14EC1" w:rsidRPr="00920CAD">
        <w:rPr>
          <w:rFonts w:ascii="Arial" w:hAnsi="Arial" w:cs="Arial"/>
          <w:szCs w:val="24"/>
        </w:rPr>
        <w:t xml:space="preserve">the </w:t>
      </w:r>
      <w:r w:rsidR="005831AC" w:rsidRPr="00920CAD">
        <w:rPr>
          <w:rFonts w:ascii="Arial" w:hAnsi="Arial" w:cs="Arial"/>
          <w:szCs w:val="24"/>
        </w:rPr>
        <w:t>Solids Discrepancy at East End</w:t>
      </w:r>
      <w:r w:rsidR="00F14EC1" w:rsidRPr="00920CAD">
        <w:rPr>
          <w:rFonts w:ascii="Arial" w:hAnsi="Arial" w:cs="Arial"/>
          <w:szCs w:val="24"/>
        </w:rPr>
        <w:t xml:space="preserve"> </w:t>
      </w:r>
      <w:r w:rsidR="00203B70" w:rsidRPr="00920CAD">
        <w:rPr>
          <w:rFonts w:ascii="Arial" w:hAnsi="Arial" w:cs="Arial"/>
          <w:szCs w:val="24"/>
        </w:rPr>
        <w:t>(</w:t>
      </w:r>
      <w:r w:rsidR="00203B70" w:rsidRPr="00920CAD">
        <w:rPr>
          <w:rFonts w:ascii="Arial" w:hAnsi="Arial" w:cs="Arial"/>
          <w:i/>
          <w:szCs w:val="24"/>
        </w:rPr>
        <w:t>SD</w:t>
      </w:r>
      <w:r w:rsidR="00203B70" w:rsidRPr="00920CAD">
        <w:rPr>
          <w:rFonts w:ascii="Arial" w:hAnsi="Arial" w:cs="Arial"/>
          <w:i/>
          <w:szCs w:val="24"/>
          <w:vertAlign w:val="subscript"/>
        </w:rPr>
        <w:t>EE</w:t>
      </w:r>
      <w:r w:rsidR="00203B70" w:rsidRPr="00920CAD">
        <w:rPr>
          <w:rFonts w:ascii="Arial" w:hAnsi="Arial" w:cs="Arial"/>
          <w:szCs w:val="24"/>
        </w:rPr>
        <w:t xml:space="preserve">) </w:t>
      </w:r>
      <w:r w:rsidR="00F14EC1" w:rsidRPr="00920CAD">
        <w:rPr>
          <w:rFonts w:ascii="Arial" w:hAnsi="Arial" w:cs="Arial"/>
          <w:szCs w:val="24"/>
        </w:rPr>
        <w:t>monitoring facility</w:t>
      </w:r>
      <w:r w:rsidR="005831AC" w:rsidRPr="00920CAD">
        <w:rPr>
          <w:rFonts w:ascii="Arial" w:hAnsi="Arial" w:cs="Arial"/>
          <w:szCs w:val="24"/>
        </w:rPr>
        <w:t xml:space="preserve"> determined by the </w:t>
      </w:r>
      <w:r w:rsidR="002779B8" w:rsidRPr="00920CAD">
        <w:rPr>
          <w:rFonts w:ascii="Arial" w:hAnsi="Arial" w:cs="Arial"/>
          <w:i/>
          <w:szCs w:val="24"/>
        </w:rPr>
        <w:t>Fractional Solids Discrepancy</w:t>
      </w:r>
      <w:r w:rsidR="002779B8" w:rsidRPr="00920CAD">
        <w:rPr>
          <w:rFonts w:ascii="Arial" w:hAnsi="Arial" w:cs="Arial"/>
          <w:szCs w:val="24"/>
        </w:rPr>
        <w:t xml:space="preserve"> (</w:t>
      </w:r>
      <w:r w:rsidR="002779B8" w:rsidRPr="00920CAD">
        <w:rPr>
          <w:rFonts w:ascii="Arial" w:hAnsi="Arial" w:cs="Arial"/>
          <w:i/>
          <w:szCs w:val="24"/>
        </w:rPr>
        <w:t>FSD</w:t>
      </w:r>
      <w:r w:rsidR="002779B8" w:rsidRPr="00920CAD">
        <w:rPr>
          <w:rFonts w:ascii="Arial" w:hAnsi="Arial" w:cs="Arial"/>
          <w:i/>
          <w:szCs w:val="24"/>
          <w:vertAlign w:val="subscript"/>
        </w:rPr>
        <w:t>i</w:t>
      </w:r>
      <w:r w:rsidR="002779B8" w:rsidRPr="00920CAD">
        <w:rPr>
          <w:rFonts w:ascii="Arial" w:hAnsi="Arial" w:cs="Arial"/>
          <w:szCs w:val="24"/>
        </w:rPr>
        <w:t>)</w:t>
      </w:r>
      <w:r w:rsidR="004724DE" w:rsidRPr="00920CAD">
        <w:rPr>
          <w:rFonts w:ascii="Arial" w:hAnsi="Arial" w:cs="Arial"/>
          <w:szCs w:val="24"/>
        </w:rPr>
        <w:t xml:space="preserve"> formula</w:t>
      </w:r>
      <w:r w:rsidR="005831AC" w:rsidRPr="00920CAD">
        <w:rPr>
          <w:rFonts w:ascii="Arial" w:hAnsi="Arial" w:cs="Arial"/>
          <w:szCs w:val="24"/>
        </w:rPr>
        <w:t>;</w:t>
      </w:r>
      <w:r w:rsidRPr="00920CAD">
        <w:rPr>
          <w:rFonts w:ascii="Arial" w:hAnsi="Arial" w:cs="Arial"/>
          <w:szCs w:val="24"/>
        </w:rPr>
        <w:t xml:space="preserve">  </w:t>
      </w:r>
    </w:p>
    <w:p w14:paraId="6F1021FD" w14:textId="58F4E876" w:rsidR="00B620F3" w:rsidRPr="00920CAD" w:rsidRDefault="00B620F3" w:rsidP="00C72D9D">
      <w:pPr>
        <w:ind w:firstLine="720"/>
        <w:jc w:val="both"/>
        <w:rPr>
          <w:rFonts w:ascii="Arial" w:hAnsi="Arial" w:cs="Arial"/>
          <w:szCs w:val="24"/>
        </w:rPr>
      </w:pPr>
    </w:p>
    <w:p w14:paraId="4686D2F4" w14:textId="46C68D27" w:rsidR="00B620F3" w:rsidRPr="00920CAD" w:rsidRDefault="00B620F3" w:rsidP="00C72D9D">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xml:space="preserve">, it is necessary to allocate individual Users their fractional contribution of the </w:t>
      </w:r>
      <w:r w:rsidR="005C26D0" w:rsidRPr="00920CAD">
        <w:rPr>
          <w:rFonts w:ascii="Arial" w:hAnsi="Arial" w:cs="Arial"/>
          <w:szCs w:val="24"/>
        </w:rPr>
        <w:t>Volumetric,</w:t>
      </w:r>
      <w:r w:rsidRPr="00920CAD">
        <w:rPr>
          <w:rFonts w:ascii="Arial" w:hAnsi="Arial" w:cs="Arial"/>
          <w:szCs w:val="24"/>
        </w:rPr>
        <w:t xml:space="preserve"> Chemical Oxygen Demand (COD), and </w:t>
      </w:r>
      <w:r w:rsidR="005C26D0" w:rsidRPr="00920CAD">
        <w:rPr>
          <w:rFonts w:ascii="Arial" w:hAnsi="Arial" w:cs="Arial"/>
          <w:szCs w:val="24"/>
        </w:rPr>
        <w:t>NRWSCU</w:t>
      </w:r>
      <w:r w:rsidRPr="00920CAD">
        <w:rPr>
          <w:rFonts w:ascii="Arial" w:hAnsi="Arial" w:cs="Arial"/>
          <w:szCs w:val="24"/>
        </w:rPr>
        <w:t xml:space="preserve"> discrepancies at East End monitoring facility </w:t>
      </w:r>
      <w:r w:rsidR="005C26D0" w:rsidRPr="00920CAD">
        <w:rPr>
          <w:rFonts w:ascii="Arial" w:hAnsi="Arial" w:cs="Arial"/>
          <w:szCs w:val="24"/>
        </w:rPr>
        <w:t xml:space="preserve">as </w:t>
      </w:r>
      <w:r w:rsidRPr="00920CAD">
        <w:rPr>
          <w:rFonts w:ascii="Arial" w:hAnsi="Arial" w:cs="Arial"/>
          <w:szCs w:val="24"/>
        </w:rPr>
        <w:t>determined by</w:t>
      </w:r>
      <w:r w:rsidR="005C26D0" w:rsidRPr="00920CAD">
        <w:rPr>
          <w:rFonts w:ascii="Arial" w:hAnsi="Arial" w:cs="Arial"/>
          <w:szCs w:val="24"/>
        </w:rPr>
        <w:t xml:space="preserve"> the preceding</w:t>
      </w:r>
      <w:r w:rsidRPr="00920CAD">
        <w:rPr>
          <w:rFonts w:ascii="Arial" w:hAnsi="Arial" w:cs="Arial"/>
          <w:szCs w:val="24"/>
        </w:rPr>
        <w:t xml:space="preserve"> fiscal year</w:t>
      </w:r>
      <w:r w:rsidR="005C26D0" w:rsidRPr="00920CAD">
        <w:rPr>
          <w:rFonts w:ascii="Arial" w:hAnsi="Arial" w:cs="Arial"/>
          <w:szCs w:val="24"/>
        </w:rPr>
        <w:t>’s</w:t>
      </w:r>
      <w:r w:rsidRPr="00920CAD">
        <w:rPr>
          <w:rFonts w:ascii="Arial" w:hAnsi="Arial" w:cs="Arial"/>
          <w:szCs w:val="24"/>
        </w:rPr>
        <w:t xml:space="preserve"> monitoring data;</w:t>
      </w:r>
    </w:p>
    <w:p w14:paraId="56A504E8" w14:textId="77777777" w:rsidR="002779B8" w:rsidRPr="00920CAD" w:rsidRDefault="002779B8" w:rsidP="00C72D9D">
      <w:pPr>
        <w:ind w:firstLine="720"/>
        <w:jc w:val="both"/>
        <w:rPr>
          <w:rFonts w:ascii="Arial" w:hAnsi="Arial" w:cs="Arial"/>
          <w:szCs w:val="24"/>
        </w:rPr>
      </w:pPr>
    </w:p>
    <w:p w14:paraId="13BA1B0A" w14:textId="77777777" w:rsidR="004802FC" w:rsidRPr="00920CAD" w:rsidRDefault="004802FC" w:rsidP="004802FC">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xml:space="preserve">, it is necessary to establish application fees for processing applications for </w:t>
      </w:r>
      <w:r w:rsidR="003838DD" w:rsidRPr="00920CAD">
        <w:rPr>
          <w:rFonts w:ascii="Arial" w:hAnsi="Arial" w:cs="Arial"/>
          <w:szCs w:val="24"/>
        </w:rPr>
        <w:t xml:space="preserve">NRWSCU </w:t>
      </w:r>
      <w:r w:rsidRPr="00920CAD">
        <w:rPr>
          <w:rFonts w:ascii="Arial" w:hAnsi="Arial" w:cs="Arial"/>
          <w:szCs w:val="24"/>
        </w:rPr>
        <w:t>A</w:t>
      </w:r>
      <w:r w:rsidR="001B04F0" w:rsidRPr="00920CAD">
        <w:rPr>
          <w:rFonts w:ascii="Arial" w:hAnsi="Arial" w:cs="Arial"/>
          <w:szCs w:val="24"/>
        </w:rPr>
        <w:t>llocations</w:t>
      </w:r>
      <w:r w:rsidRPr="00920CAD">
        <w:rPr>
          <w:rFonts w:ascii="Arial" w:hAnsi="Arial" w:cs="Arial"/>
          <w:szCs w:val="24"/>
        </w:rPr>
        <w:t xml:space="preserve"> and Wastewater Discharge Permits for the use of the Inland Empire Utilities Agency (Agency)'s NRWS; </w:t>
      </w:r>
    </w:p>
    <w:p w14:paraId="65AC118B" w14:textId="77777777" w:rsidR="00BE00CC" w:rsidRPr="00920CAD" w:rsidRDefault="00BE00CC">
      <w:pPr>
        <w:ind w:firstLine="720"/>
        <w:jc w:val="both"/>
        <w:rPr>
          <w:rFonts w:ascii="Arial" w:hAnsi="Arial" w:cs="Arial"/>
          <w:b/>
          <w:szCs w:val="24"/>
        </w:rPr>
      </w:pPr>
    </w:p>
    <w:p w14:paraId="1529E335" w14:textId="5541453C" w:rsidR="0016549D" w:rsidRPr="00920CAD" w:rsidRDefault="0016549D">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under Section 13550, et seq., of the California Water Code, a Public Agency may require industries to use recycled water for certain purposes, where it is available and at reasonable cost;</w:t>
      </w:r>
      <w:r w:rsidR="00B553F0">
        <w:rPr>
          <w:rFonts w:ascii="Arial" w:hAnsi="Arial" w:cs="Arial"/>
          <w:szCs w:val="24"/>
        </w:rPr>
        <w:t xml:space="preserve"> and</w:t>
      </w:r>
    </w:p>
    <w:p w14:paraId="02FE1657" w14:textId="77777777" w:rsidR="0016549D" w:rsidRPr="00920CAD" w:rsidRDefault="0016549D">
      <w:pPr>
        <w:ind w:firstLine="720"/>
        <w:jc w:val="both"/>
        <w:rPr>
          <w:rFonts w:ascii="Arial" w:hAnsi="Arial" w:cs="Arial"/>
          <w:b/>
          <w:szCs w:val="24"/>
        </w:rPr>
      </w:pPr>
    </w:p>
    <w:p w14:paraId="68ABAFEA" w14:textId="4E2B247C" w:rsidR="0016549D" w:rsidRPr="00920CAD" w:rsidRDefault="0016549D">
      <w:pPr>
        <w:ind w:firstLine="720"/>
        <w:jc w:val="both"/>
        <w:rPr>
          <w:rFonts w:ascii="Arial" w:hAnsi="Arial" w:cs="Arial"/>
          <w:szCs w:val="24"/>
        </w:rPr>
      </w:pPr>
      <w:r w:rsidRPr="00920CAD">
        <w:rPr>
          <w:rFonts w:ascii="Arial" w:hAnsi="Arial" w:cs="Arial"/>
          <w:b/>
          <w:szCs w:val="24"/>
        </w:rPr>
        <w:t>WHEREAS</w:t>
      </w:r>
      <w:r w:rsidRPr="00920CAD">
        <w:rPr>
          <w:rFonts w:ascii="Arial" w:hAnsi="Arial" w:cs="Arial"/>
          <w:szCs w:val="24"/>
        </w:rPr>
        <w:t xml:space="preserve">, the Board of Directors of the Agency, pursuant to Ordinance No. </w:t>
      </w:r>
      <w:r w:rsidR="00AD7FC2" w:rsidRPr="00920CAD">
        <w:rPr>
          <w:rFonts w:ascii="Arial" w:hAnsi="Arial" w:cs="Arial"/>
          <w:szCs w:val="24"/>
        </w:rPr>
        <w:t>99</w:t>
      </w:r>
      <w:r w:rsidR="00FA3269" w:rsidRPr="00920CAD">
        <w:rPr>
          <w:rFonts w:ascii="Arial" w:hAnsi="Arial" w:cs="Arial"/>
          <w:szCs w:val="24"/>
        </w:rPr>
        <w:t xml:space="preserve">, </w:t>
      </w:r>
      <w:r w:rsidRPr="00920CAD">
        <w:rPr>
          <w:rFonts w:ascii="Arial" w:hAnsi="Arial" w:cs="Arial"/>
          <w:szCs w:val="24"/>
        </w:rPr>
        <w:t xml:space="preserve">may establish said fees and charges by </w:t>
      </w:r>
      <w:r w:rsidR="00363E2D" w:rsidRPr="00920CAD">
        <w:rPr>
          <w:rFonts w:ascii="Arial" w:hAnsi="Arial" w:cs="Arial"/>
          <w:szCs w:val="24"/>
        </w:rPr>
        <w:t>R</w:t>
      </w:r>
      <w:r w:rsidRPr="00920CAD">
        <w:rPr>
          <w:rFonts w:ascii="Arial" w:hAnsi="Arial" w:cs="Arial"/>
          <w:szCs w:val="24"/>
        </w:rPr>
        <w:t>esolution</w:t>
      </w:r>
      <w:r w:rsidR="00B553F0">
        <w:rPr>
          <w:rFonts w:ascii="Arial" w:hAnsi="Arial" w:cs="Arial"/>
          <w:szCs w:val="24"/>
        </w:rPr>
        <w:t>.</w:t>
      </w:r>
    </w:p>
    <w:p w14:paraId="1D889993" w14:textId="77777777" w:rsidR="0016549D" w:rsidRPr="00920CAD" w:rsidRDefault="0016549D">
      <w:pPr>
        <w:ind w:firstLine="720"/>
        <w:jc w:val="both"/>
        <w:rPr>
          <w:rFonts w:ascii="Arial" w:hAnsi="Arial" w:cs="Arial"/>
          <w:szCs w:val="24"/>
        </w:rPr>
      </w:pPr>
    </w:p>
    <w:p w14:paraId="1C7866A9" w14:textId="153B5878" w:rsidR="0016549D" w:rsidRPr="00920CAD" w:rsidRDefault="0016549D">
      <w:pPr>
        <w:ind w:firstLine="720"/>
        <w:jc w:val="both"/>
        <w:rPr>
          <w:rFonts w:ascii="Arial" w:hAnsi="Arial" w:cs="Arial"/>
          <w:szCs w:val="24"/>
        </w:rPr>
      </w:pPr>
      <w:r w:rsidRPr="00920CAD">
        <w:rPr>
          <w:rFonts w:ascii="Arial" w:hAnsi="Arial" w:cs="Arial"/>
          <w:b/>
          <w:szCs w:val="24"/>
        </w:rPr>
        <w:t>NOW, THEREFORE</w:t>
      </w:r>
      <w:r w:rsidRPr="00920CAD">
        <w:rPr>
          <w:rFonts w:ascii="Arial" w:hAnsi="Arial" w:cs="Arial"/>
          <w:szCs w:val="24"/>
        </w:rPr>
        <w:t>, the Board of Directors hereby RESOLVES, DETERMINES, AND ORDERS the following to be effective July 1, 20</w:t>
      </w:r>
      <w:r w:rsidR="00545B27" w:rsidRPr="00920CAD">
        <w:rPr>
          <w:rFonts w:ascii="Arial" w:hAnsi="Arial" w:cs="Arial"/>
          <w:szCs w:val="24"/>
        </w:rPr>
        <w:t>1</w:t>
      </w:r>
      <w:r w:rsidR="00170710" w:rsidRPr="00920CAD">
        <w:rPr>
          <w:rFonts w:ascii="Arial" w:hAnsi="Arial" w:cs="Arial"/>
          <w:szCs w:val="24"/>
        </w:rPr>
        <w:t>9</w:t>
      </w:r>
      <w:r w:rsidR="005C26D0" w:rsidRPr="00920CAD">
        <w:rPr>
          <w:rFonts w:ascii="Arial" w:hAnsi="Arial" w:cs="Arial"/>
          <w:szCs w:val="24"/>
        </w:rPr>
        <w:t>:</w:t>
      </w:r>
    </w:p>
    <w:p w14:paraId="52071518" w14:textId="77777777" w:rsidR="0016549D" w:rsidRPr="00920CAD" w:rsidRDefault="0016549D">
      <w:pPr>
        <w:jc w:val="both"/>
        <w:rPr>
          <w:rFonts w:ascii="Arial" w:hAnsi="Arial" w:cs="Arial"/>
          <w:szCs w:val="24"/>
        </w:rPr>
      </w:pPr>
    </w:p>
    <w:p w14:paraId="74C1204B" w14:textId="77777777" w:rsidR="00391A99" w:rsidRPr="00920CAD" w:rsidRDefault="00391A99">
      <w:pPr>
        <w:widowControl/>
        <w:rPr>
          <w:rFonts w:ascii="Arial" w:hAnsi="Arial" w:cs="Arial"/>
          <w:b/>
          <w:szCs w:val="24"/>
          <w:u w:val="single"/>
        </w:rPr>
      </w:pPr>
      <w:r w:rsidRPr="00920CAD">
        <w:rPr>
          <w:rFonts w:ascii="Arial" w:hAnsi="Arial" w:cs="Arial"/>
          <w:b/>
          <w:szCs w:val="24"/>
          <w:u w:val="single"/>
        </w:rPr>
        <w:br w:type="page"/>
      </w:r>
    </w:p>
    <w:p w14:paraId="3000D0A3" w14:textId="77777777" w:rsidR="000B6B8C" w:rsidRPr="00920CAD" w:rsidRDefault="0016549D">
      <w:pPr>
        <w:ind w:left="720"/>
        <w:jc w:val="both"/>
        <w:rPr>
          <w:rFonts w:ascii="Arial" w:hAnsi="Arial" w:cs="Arial"/>
          <w:szCs w:val="24"/>
        </w:rPr>
      </w:pPr>
      <w:r w:rsidRPr="00920CAD">
        <w:rPr>
          <w:rFonts w:ascii="Arial" w:hAnsi="Arial" w:cs="Arial"/>
          <w:b/>
          <w:szCs w:val="24"/>
          <w:u w:val="single"/>
        </w:rPr>
        <w:lastRenderedPageBreak/>
        <w:t>Section 1</w:t>
      </w:r>
      <w:r w:rsidRPr="00920CAD">
        <w:rPr>
          <w:rFonts w:ascii="Arial" w:hAnsi="Arial" w:cs="Arial"/>
          <w:szCs w:val="24"/>
        </w:rPr>
        <w:tab/>
        <w:t xml:space="preserve">That </w:t>
      </w:r>
      <w:r w:rsidR="000B6B8C" w:rsidRPr="00920CAD">
        <w:rPr>
          <w:rFonts w:ascii="Arial" w:hAnsi="Arial" w:cs="Arial"/>
          <w:szCs w:val="24"/>
        </w:rPr>
        <w:t xml:space="preserve">the acquisition of </w:t>
      </w:r>
      <w:r w:rsidR="00087C72" w:rsidRPr="00920CAD">
        <w:rPr>
          <w:rFonts w:ascii="Arial" w:hAnsi="Arial" w:cs="Arial"/>
          <w:szCs w:val="24"/>
        </w:rPr>
        <w:t>wastewater discharge</w:t>
      </w:r>
      <w:r w:rsidR="000B6B8C" w:rsidRPr="00920CAD">
        <w:rPr>
          <w:rFonts w:ascii="Arial" w:hAnsi="Arial" w:cs="Arial"/>
          <w:szCs w:val="24"/>
        </w:rPr>
        <w:t xml:space="preserve"> </w:t>
      </w:r>
      <w:r w:rsidR="00087C72" w:rsidRPr="00920CAD">
        <w:rPr>
          <w:rFonts w:ascii="Arial" w:hAnsi="Arial" w:cs="Arial"/>
          <w:szCs w:val="24"/>
        </w:rPr>
        <w:t>right</w:t>
      </w:r>
      <w:r w:rsidR="000B6B8C" w:rsidRPr="00920CAD">
        <w:rPr>
          <w:rFonts w:ascii="Arial" w:hAnsi="Arial" w:cs="Arial"/>
          <w:szCs w:val="24"/>
        </w:rPr>
        <w:t xml:space="preserve"> shall be as follows:</w:t>
      </w:r>
    </w:p>
    <w:p w14:paraId="2A50CC91" w14:textId="77777777" w:rsidR="000B6B8C" w:rsidRPr="00920CAD" w:rsidRDefault="000B6B8C">
      <w:pPr>
        <w:ind w:left="720"/>
        <w:jc w:val="both"/>
        <w:rPr>
          <w:rFonts w:ascii="Arial" w:hAnsi="Arial" w:cs="Arial"/>
          <w:szCs w:val="24"/>
        </w:rPr>
      </w:pPr>
    </w:p>
    <w:p w14:paraId="78C497DC" w14:textId="77777777" w:rsidR="000B6B8C" w:rsidRPr="00920CAD" w:rsidRDefault="003838DD" w:rsidP="00977B2D">
      <w:pPr>
        <w:pStyle w:val="ListParagraph"/>
        <w:numPr>
          <w:ilvl w:val="0"/>
          <w:numId w:val="26"/>
        </w:numPr>
        <w:ind w:hanging="720"/>
        <w:jc w:val="both"/>
        <w:rPr>
          <w:rFonts w:ascii="Arial" w:hAnsi="Arial" w:cs="Arial"/>
          <w:szCs w:val="24"/>
        </w:rPr>
      </w:pPr>
      <w:r w:rsidRPr="00920CAD">
        <w:rPr>
          <w:rFonts w:ascii="Arial" w:hAnsi="Arial" w:cs="Arial"/>
          <w:szCs w:val="24"/>
        </w:rPr>
        <w:t>NRWSCU</w:t>
      </w:r>
      <w:r w:rsidR="000B6B8C" w:rsidRPr="00920CAD">
        <w:rPr>
          <w:rFonts w:ascii="Arial" w:hAnsi="Arial" w:cs="Arial"/>
          <w:szCs w:val="24"/>
        </w:rPr>
        <w:t xml:space="preserve"> ACQUISITION RATE</w:t>
      </w:r>
      <w:r w:rsidR="0003783B" w:rsidRPr="00920CAD">
        <w:rPr>
          <w:rFonts w:ascii="Arial" w:hAnsi="Arial" w:cs="Arial"/>
          <w:szCs w:val="24"/>
        </w:rPr>
        <w:t>S</w:t>
      </w:r>
    </w:p>
    <w:p w14:paraId="2902D42D" w14:textId="77777777" w:rsidR="000B6B8C" w:rsidRPr="00920CAD" w:rsidRDefault="000B6B8C" w:rsidP="00977B2D">
      <w:pPr>
        <w:pStyle w:val="ListParagraph"/>
        <w:ind w:left="1440"/>
        <w:jc w:val="both"/>
        <w:rPr>
          <w:rFonts w:ascii="Arial" w:hAnsi="Arial" w:cs="Arial"/>
          <w:szCs w:val="24"/>
        </w:rPr>
      </w:pPr>
    </w:p>
    <w:p w14:paraId="6C92828F" w14:textId="77777777" w:rsidR="000B68AA" w:rsidRPr="00920CAD" w:rsidRDefault="000B68AA" w:rsidP="00977B2D">
      <w:pPr>
        <w:pStyle w:val="ListParagraph"/>
        <w:numPr>
          <w:ilvl w:val="0"/>
          <w:numId w:val="31"/>
        </w:numPr>
        <w:jc w:val="both"/>
        <w:rPr>
          <w:rFonts w:ascii="Arial" w:hAnsi="Arial" w:cs="Arial"/>
          <w:szCs w:val="24"/>
        </w:rPr>
      </w:pPr>
      <w:r w:rsidRPr="00920CAD">
        <w:rPr>
          <w:rFonts w:ascii="Arial" w:hAnsi="Arial" w:cs="Arial"/>
          <w:szCs w:val="24"/>
        </w:rPr>
        <w:t xml:space="preserve">A </w:t>
      </w:r>
      <w:r w:rsidR="003838DD" w:rsidRPr="00920CAD">
        <w:rPr>
          <w:rFonts w:ascii="Arial" w:hAnsi="Arial" w:cs="Arial"/>
          <w:szCs w:val="24"/>
        </w:rPr>
        <w:t>NRWSCU</w:t>
      </w:r>
      <w:r w:rsidRPr="00920CAD">
        <w:rPr>
          <w:rFonts w:ascii="Arial" w:hAnsi="Arial" w:cs="Arial"/>
          <w:szCs w:val="24"/>
        </w:rPr>
        <w:t xml:space="preserve"> for the NRWS is determined by the following formula:</w:t>
      </w:r>
    </w:p>
    <w:p w14:paraId="4BA79B57" w14:textId="77777777" w:rsidR="000B68AA" w:rsidRPr="00920CAD" w:rsidRDefault="000B68AA" w:rsidP="00977B2D">
      <w:pPr>
        <w:ind w:left="1440" w:firstLine="720"/>
        <w:jc w:val="both"/>
        <w:rPr>
          <w:rFonts w:ascii="Arial" w:hAnsi="Arial" w:cs="Arial"/>
          <w:szCs w:val="24"/>
        </w:rPr>
      </w:pPr>
    </w:p>
    <w:p w14:paraId="77FF27F4" w14:textId="77777777" w:rsidR="000B68AA" w:rsidRPr="00920CAD" w:rsidRDefault="003838DD" w:rsidP="00977B2D">
      <w:pPr>
        <w:ind w:left="1440"/>
        <w:jc w:val="both"/>
        <w:rPr>
          <w:rFonts w:ascii="Arial" w:hAnsi="Arial" w:cs="Arial"/>
          <w:sz w:val="22"/>
          <w:szCs w:val="24"/>
        </w:rPr>
      </w:pPr>
      <m:oMathPara>
        <m:oMath>
          <m:r>
            <w:rPr>
              <w:rFonts w:ascii="Cambria Math" w:hAnsi="Cambria Math" w:cs="Arial"/>
              <w:sz w:val="22"/>
              <w:szCs w:val="24"/>
            </w:rPr>
            <m:t>NRWSCU=</m:t>
          </m:r>
          <m:d>
            <m:dPr>
              <m:ctrlPr>
                <w:rPr>
                  <w:rFonts w:ascii="Cambria Math" w:hAnsi="Cambria Math" w:cs="Arial"/>
                  <w:i/>
                  <w:sz w:val="22"/>
                  <w:szCs w:val="24"/>
                </w:rPr>
              </m:ctrlPr>
            </m:dPr>
            <m:e>
              <m:r>
                <w:rPr>
                  <w:rFonts w:ascii="Cambria Math" w:hAnsi="Cambria Math" w:cs="Arial"/>
                  <w:sz w:val="22"/>
                  <w:szCs w:val="24"/>
                </w:rPr>
                <m:t xml:space="preserve">0.6513 x </m:t>
              </m:r>
              <m:f>
                <m:fPr>
                  <m:ctrlPr>
                    <w:rPr>
                      <w:rFonts w:ascii="Cambria Math" w:hAnsi="Cambria Math" w:cs="Arial"/>
                      <w:i/>
                      <w:sz w:val="22"/>
                      <w:szCs w:val="24"/>
                    </w:rPr>
                  </m:ctrlPr>
                </m:fPr>
                <m:num>
                  <m:sSub>
                    <m:sSubPr>
                      <m:ctrlPr>
                        <w:rPr>
                          <w:rFonts w:ascii="Cambria Math" w:hAnsi="Cambria Math" w:cs="Arial"/>
                          <w:i/>
                          <w:sz w:val="22"/>
                          <w:szCs w:val="24"/>
                        </w:rPr>
                      </m:ctrlPr>
                    </m:sSubPr>
                    <m:e>
                      <m:r>
                        <w:rPr>
                          <w:rFonts w:ascii="Cambria Math" w:hAnsi="Cambria Math" w:cs="Arial"/>
                          <w:sz w:val="22"/>
                          <w:szCs w:val="24"/>
                        </w:rPr>
                        <m:t>Flow</m:t>
                      </m:r>
                    </m:e>
                    <m:sub>
                      <m:r>
                        <w:rPr>
                          <w:rFonts w:ascii="Cambria Math" w:hAnsi="Cambria Math" w:cs="Arial"/>
                          <w:sz w:val="22"/>
                          <w:szCs w:val="24"/>
                        </w:rPr>
                        <m:t>gpd</m:t>
                      </m:r>
                    </m:sub>
                  </m:sSub>
                </m:num>
                <m:den>
                  <m:r>
                    <w:rPr>
                      <w:rFonts w:ascii="Cambria Math" w:hAnsi="Cambria Math" w:cs="Arial"/>
                      <w:sz w:val="22"/>
                      <w:szCs w:val="24"/>
                    </w:rPr>
                    <m:t>260</m:t>
                  </m:r>
                </m:den>
              </m:f>
            </m:e>
          </m:d>
          <m:r>
            <w:rPr>
              <w:rFonts w:ascii="Cambria Math" w:hAnsi="Cambria Math" w:cs="Arial"/>
              <w:sz w:val="22"/>
              <w:szCs w:val="24"/>
            </w:rPr>
            <m:t>+</m:t>
          </m:r>
          <m:d>
            <m:dPr>
              <m:ctrlPr>
                <w:rPr>
                  <w:rFonts w:ascii="Cambria Math" w:hAnsi="Cambria Math" w:cs="Arial"/>
                  <w:i/>
                  <w:sz w:val="22"/>
                  <w:szCs w:val="24"/>
                </w:rPr>
              </m:ctrlPr>
            </m:dPr>
            <m:e>
              <m:r>
                <w:rPr>
                  <w:rFonts w:ascii="Cambria Math" w:hAnsi="Cambria Math" w:cs="Arial"/>
                  <w:sz w:val="22"/>
                  <w:szCs w:val="24"/>
                </w:rPr>
                <m:t xml:space="preserve">0.1325 x </m:t>
              </m:r>
              <m:f>
                <m:fPr>
                  <m:ctrlPr>
                    <w:rPr>
                      <w:rFonts w:ascii="Cambria Math" w:hAnsi="Cambria Math" w:cs="Arial"/>
                      <w:i/>
                      <w:sz w:val="22"/>
                      <w:szCs w:val="24"/>
                    </w:rPr>
                  </m:ctrlPr>
                </m:fPr>
                <m:num>
                  <m:sSub>
                    <m:sSubPr>
                      <m:ctrlPr>
                        <w:rPr>
                          <w:rFonts w:ascii="Cambria Math" w:hAnsi="Cambria Math" w:cs="Arial"/>
                          <w:i/>
                          <w:sz w:val="22"/>
                          <w:szCs w:val="24"/>
                        </w:rPr>
                      </m:ctrlPr>
                    </m:sSubPr>
                    <m:e>
                      <m:r>
                        <w:rPr>
                          <w:rFonts w:ascii="Cambria Math" w:hAnsi="Cambria Math" w:cs="Arial"/>
                          <w:sz w:val="22"/>
                          <w:szCs w:val="24"/>
                        </w:rPr>
                        <m:t>COD</m:t>
                      </m:r>
                    </m:e>
                    <m:sub>
                      <m:r>
                        <w:rPr>
                          <w:rFonts w:ascii="Cambria Math" w:hAnsi="Cambria Math" w:cs="Arial"/>
                          <w:sz w:val="22"/>
                          <w:szCs w:val="24"/>
                        </w:rPr>
                        <m:t>ppd</m:t>
                      </m:r>
                    </m:sub>
                  </m:sSub>
                </m:num>
                <m:den>
                  <m:r>
                    <w:rPr>
                      <w:rFonts w:ascii="Cambria Math" w:hAnsi="Cambria Math" w:cs="Arial"/>
                      <w:sz w:val="22"/>
                      <w:szCs w:val="24"/>
                    </w:rPr>
                    <m:t>1.22</m:t>
                  </m:r>
                </m:den>
              </m:f>
            </m:e>
          </m:d>
          <m:r>
            <w:rPr>
              <w:rFonts w:ascii="Cambria Math" w:hAnsi="Cambria Math" w:cs="Arial"/>
              <w:sz w:val="22"/>
              <w:szCs w:val="24"/>
            </w:rPr>
            <m:t>+</m:t>
          </m:r>
          <m:d>
            <m:dPr>
              <m:ctrlPr>
                <w:rPr>
                  <w:rFonts w:ascii="Cambria Math" w:hAnsi="Cambria Math" w:cs="Arial"/>
                  <w:i/>
                  <w:sz w:val="22"/>
                  <w:szCs w:val="24"/>
                </w:rPr>
              </m:ctrlPr>
            </m:dPr>
            <m:e>
              <m:r>
                <w:rPr>
                  <w:rFonts w:ascii="Cambria Math" w:hAnsi="Cambria Math" w:cs="Arial"/>
                  <w:sz w:val="22"/>
                  <w:szCs w:val="24"/>
                </w:rPr>
                <m:t xml:space="preserve">0.2162 x </m:t>
              </m:r>
              <m:f>
                <m:fPr>
                  <m:ctrlPr>
                    <w:rPr>
                      <w:rFonts w:ascii="Cambria Math" w:hAnsi="Cambria Math" w:cs="Arial"/>
                      <w:i/>
                      <w:sz w:val="22"/>
                      <w:szCs w:val="24"/>
                    </w:rPr>
                  </m:ctrlPr>
                </m:fPr>
                <m:num>
                  <m:sSub>
                    <m:sSubPr>
                      <m:ctrlPr>
                        <w:rPr>
                          <w:rFonts w:ascii="Cambria Math" w:hAnsi="Cambria Math" w:cs="Arial"/>
                          <w:i/>
                          <w:sz w:val="22"/>
                          <w:szCs w:val="24"/>
                        </w:rPr>
                      </m:ctrlPr>
                    </m:sSubPr>
                    <m:e>
                      <m:r>
                        <w:rPr>
                          <w:rFonts w:ascii="Cambria Math" w:hAnsi="Cambria Math" w:cs="Arial"/>
                          <w:sz w:val="22"/>
                          <w:szCs w:val="24"/>
                        </w:rPr>
                        <m:t>TSS</m:t>
                      </m:r>
                    </m:e>
                    <m:sub>
                      <m:r>
                        <w:rPr>
                          <w:rFonts w:ascii="Cambria Math" w:hAnsi="Cambria Math" w:cs="Arial"/>
                          <w:sz w:val="22"/>
                          <w:szCs w:val="24"/>
                        </w:rPr>
                        <m:t>ppd</m:t>
                      </m:r>
                    </m:sub>
                  </m:sSub>
                </m:num>
                <m:den>
                  <m:r>
                    <w:rPr>
                      <w:rFonts w:ascii="Cambria Math" w:hAnsi="Cambria Math" w:cs="Arial"/>
                      <w:sz w:val="22"/>
                      <w:szCs w:val="24"/>
                    </w:rPr>
                    <m:t>0.59</m:t>
                  </m:r>
                </m:den>
              </m:f>
            </m:e>
          </m:d>
        </m:oMath>
      </m:oMathPara>
    </w:p>
    <w:p w14:paraId="12ACA332" w14:textId="77777777" w:rsidR="000B68AA" w:rsidRPr="00920CAD" w:rsidRDefault="000B68AA" w:rsidP="00977B2D">
      <w:pPr>
        <w:ind w:left="1440" w:firstLine="720"/>
        <w:jc w:val="both"/>
        <w:rPr>
          <w:rFonts w:ascii="Arial" w:hAnsi="Arial" w:cs="Arial"/>
          <w:szCs w:val="24"/>
        </w:rPr>
      </w:pPr>
    </w:p>
    <w:p w14:paraId="03FD69D8" w14:textId="77777777" w:rsidR="000B68AA" w:rsidRPr="00920CAD" w:rsidRDefault="000B68AA" w:rsidP="00977B2D">
      <w:pPr>
        <w:ind w:left="1440"/>
        <w:rPr>
          <w:rFonts w:ascii="Arial" w:hAnsi="Arial" w:cs="Arial"/>
          <w:b/>
          <w:i/>
          <w:szCs w:val="24"/>
        </w:rPr>
      </w:pPr>
      <w:r w:rsidRPr="00920CAD">
        <w:rPr>
          <w:rFonts w:ascii="Arial" w:hAnsi="Arial" w:cs="Arial"/>
          <w:b/>
          <w:i/>
          <w:szCs w:val="24"/>
        </w:rPr>
        <w:t>Where:</w:t>
      </w:r>
    </w:p>
    <w:p w14:paraId="2BD22B2F" w14:textId="77777777" w:rsidR="000B68AA" w:rsidRPr="00920CAD" w:rsidRDefault="000B68AA" w:rsidP="00977B2D">
      <w:pPr>
        <w:ind w:left="1440"/>
        <w:rPr>
          <w:rFonts w:ascii="Arial" w:hAnsi="Arial" w:cs="Arial"/>
          <w:szCs w:val="24"/>
        </w:rPr>
      </w:pPr>
      <w:r w:rsidRPr="00920CAD">
        <w:rPr>
          <w:rFonts w:ascii="Arial" w:eastAsia="BatangChe" w:hAnsi="Arial" w:cs="Arial"/>
          <w:i/>
          <w:szCs w:val="24"/>
        </w:rPr>
        <w:t>gpd</w:t>
      </w:r>
      <w:r w:rsidRPr="00920CAD">
        <w:rPr>
          <w:rFonts w:ascii="Arial" w:hAnsi="Arial" w:cs="Arial"/>
          <w:szCs w:val="24"/>
        </w:rPr>
        <w:t xml:space="preserve"> = gallons per day</w:t>
      </w:r>
    </w:p>
    <w:p w14:paraId="38CF67E4" w14:textId="34341F39" w:rsidR="000B68AA" w:rsidRPr="00920CAD" w:rsidRDefault="000B68AA" w:rsidP="00977B2D">
      <w:pPr>
        <w:ind w:left="1440"/>
        <w:rPr>
          <w:rFonts w:ascii="Arial" w:hAnsi="Arial" w:cs="Arial"/>
          <w:szCs w:val="24"/>
        </w:rPr>
      </w:pPr>
      <w:r w:rsidRPr="00920CAD">
        <w:rPr>
          <w:rFonts w:ascii="Arial" w:hAnsi="Arial" w:cs="Arial"/>
          <w:i/>
          <w:szCs w:val="24"/>
        </w:rPr>
        <w:t>ppd</w:t>
      </w:r>
      <w:r w:rsidRPr="00920CAD">
        <w:rPr>
          <w:rFonts w:ascii="Arial" w:hAnsi="Arial" w:cs="Arial"/>
          <w:szCs w:val="24"/>
        </w:rPr>
        <w:t xml:space="preserve"> </w:t>
      </w:r>
      <w:r w:rsidR="00101F49" w:rsidRPr="00920CAD">
        <w:rPr>
          <w:rFonts w:ascii="Arial" w:hAnsi="Arial" w:cs="Arial"/>
          <w:szCs w:val="24"/>
        </w:rPr>
        <w:t>= pounds</w:t>
      </w:r>
      <w:r w:rsidRPr="00920CAD">
        <w:rPr>
          <w:rFonts w:ascii="Arial" w:hAnsi="Arial" w:cs="Arial"/>
          <w:szCs w:val="24"/>
        </w:rPr>
        <w:t xml:space="preserve"> per day</w:t>
      </w:r>
    </w:p>
    <w:p w14:paraId="07D16A0D" w14:textId="77777777" w:rsidR="000B68AA" w:rsidRPr="00920CAD" w:rsidRDefault="000B68AA" w:rsidP="00977B2D">
      <w:pPr>
        <w:pStyle w:val="ListParagraph"/>
        <w:ind w:left="1440"/>
        <w:jc w:val="both"/>
        <w:rPr>
          <w:rFonts w:ascii="Arial" w:hAnsi="Arial" w:cs="Arial"/>
          <w:szCs w:val="24"/>
        </w:rPr>
      </w:pPr>
    </w:p>
    <w:p w14:paraId="07DE2E7F" w14:textId="77777777" w:rsidR="00265EDD" w:rsidRPr="00920CAD" w:rsidRDefault="00265EDD" w:rsidP="00977B2D">
      <w:pPr>
        <w:pStyle w:val="ListParagraph"/>
        <w:numPr>
          <w:ilvl w:val="0"/>
          <w:numId w:val="31"/>
        </w:numPr>
        <w:jc w:val="both"/>
        <w:rPr>
          <w:rFonts w:ascii="Arial" w:hAnsi="Arial" w:cs="Arial"/>
          <w:szCs w:val="24"/>
        </w:rPr>
      </w:pPr>
      <w:r w:rsidRPr="00920CAD">
        <w:rPr>
          <w:rFonts w:ascii="Arial" w:hAnsi="Arial" w:cs="Arial"/>
          <w:szCs w:val="24"/>
        </w:rPr>
        <w:t xml:space="preserve">The minimum number of </w:t>
      </w:r>
      <w:r w:rsidR="003838DD" w:rsidRPr="00920CAD">
        <w:rPr>
          <w:rFonts w:ascii="Arial" w:hAnsi="Arial" w:cs="Arial"/>
          <w:szCs w:val="24"/>
        </w:rPr>
        <w:t xml:space="preserve">NRWSCU </w:t>
      </w:r>
      <w:r w:rsidRPr="00920CAD">
        <w:rPr>
          <w:rFonts w:ascii="Arial" w:hAnsi="Arial" w:cs="Arial"/>
          <w:szCs w:val="24"/>
        </w:rPr>
        <w:t xml:space="preserve">shall be 25 </w:t>
      </w:r>
      <w:r w:rsidR="003838DD" w:rsidRPr="00920CAD">
        <w:rPr>
          <w:rFonts w:ascii="Arial" w:hAnsi="Arial" w:cs="Arial"/>
          <w:szCs w:val="24"/>
        </w:rPr>
        <w:t>NRWSCU</w:t>
      </w:r>
      <w:r w:rsidRPr="00920CAD">
        <w:rPr>
          <w:rFonts w:ascii="Arial" w:hAnsi="Arial" w:cs="Arial"/>
          <w:szCs w:val="24"/>
        </w:rPr>
        <w:t>.</w:t>
      </w:r>
    </w:p>
    <w:p w14:paraId="71AA7355" w14:textId="77777777" w:rsidR="00265EDD" w:rsidRPr="00920CAD" w:rsidRDefault="00265EDD" w:rsidP="00977B2D">
      <w:pPr>
        <w:pStyle w:val="ListParagraph"/>
        <w:ind w:left="1440"/>
        <w:jc w:val="both"/>
        <w:rPr>
          <w:rFonts w:ascii="Arial" w:hAnsi="Arial" w:cs="Arial"/>
          <w:szCs w:val="24"/>
        </w:rPr>
      </w:pPr>
    </w:p>
    <w:p w14:paraId="331782BC" w14:textId="77777777" w:rsidR="00270425" w:rsidRPr="00920CAD" w:rsidRDefault="000B6B8C" w:rsidP="00977B2D">
      <w:pPr>
        <w:pStyle w:val="ListParagraph"/>
        <w:numPr>
          <w:ilvl w:val="0"/>
          <w:numId w:val="31"/>
        </w:numPr>
        <w:jc w:val="both"/>
        <w:rPr>
          <w:rFonts w:ascii="Arial" w:hAnsi="Arial" w:cs="Arial"/>
          <w:szCs w:val="24"/>
        </w:rPr>
      </w:pPr>
      <w:r w:rsidRPr="00920CAD">
        <w:rPr>
          <w:rFonts w:ascii="Arial" w:hAnsi="Arial" w:cs="Arial"/>
          <w:szCs w:val="24"/>
        </w:rPr>
        <w:t>T</w:t>
      </w:r>
      <w:r w:rsidR="0016549D" w:rsidRPr="00920CAD">
        <w:rPr>
          <w:rFonts w:ascii="Arial" w:hAnsi="Arial" w:cs="Arial"/>
          <w:szCs w:val="24"/>
        </w:rPr>
        <w:t xml:space="preserve">he </w:t>
      </w:r>
      <w:r w:rsidR="004802FC" w:rsidRPr="00920CAD">
        <w:rPr>
          <w:rFonts w:ascii="Arial" w:hAnsi="Arial" w:cs="Arial"/>
          <w:b/>
          <w:szCs w:val="24"/>
        </w:rPr>
        <w:t>purchase rate</w:t>
      </w:r>
      <w:r w:rsidR="004802FC" w:rsidRPr="00920CAD">
        <w:rPr>
          <w:rFonts w:ascii="Arial" w:hAnsi="Arial" w:cs="Arial"/>
          <w:szCs w:val="24"/>
        </w:rPr>
        <w:t xml:space="preserve"> </w:t>
      </w:r>
      <w:r w:rsidR="00270425" w:rsidRPr="00920CAD">
        <w:rPr>
          <w:rFonts w:ascii="Arial" w:hAnsi="Arial" w:cs="Arial"/>
          <w:szCs w:val="24"/>
        </w:rPr>
        <w:t>for</w:t>
      </w:r>
      <w:r w:rsidR="00A8012C" w:rsidRPr="00920CAD">
        <w:rPr>
          <w:rFonts w:ascii="Arial" w:hAnsi="Arial" w:cs="Arial"/>
          <w:szCs w:val="24"/>
        </w:rPr>
        <w:t xml:space="preserve"> the right to discharge</w:t>
      </w:r>
      <w:r w:rsidR="004802FC" w:rsidRPr="00920CAD">
        <w:rPr>
          <w:rFonts w:ascii="Arial" w:hAnsi="Arial" w:cs="Arial"/>
          <w:szCs w:val="24"/>
        </w:rPr>
        <w:t xml:space="preserve"> one</w:t>
      </w:r>
      <w:r w:rsidR="00270425" w:rsidRPr="00920CAD">
        <w:rPr>
          <w:rFonts w:ascii="Arial" w:hAnsi="Arial" w:cs="Arial"/>
          <w:szCs w:val="24"/>
        </w:rPr>
        <w:t xml:space="preserve"> (1)</w:t>
      </w:r>
      <w:r w:rsidR="004802FC" w:rsidRPr="00920CAD">
        <w:rPr>
          <w:rFonts w:ascii="Arial" w:hAnsi="Arial" w:cs="Arial"/>
          <w:szCs w:val="24"/>
        </w:rPr>
        <w:t xml:space="preserve"> </w:t>
      </w:r>
      <w:r w:rsidR="003838DD" w:rsidRPr="00920CAD">
        <w:rPr>
          <w:rFonts w:ascii="Arial" w:hAnsi="Arial" w:cs="Arial"/>
          <w:szCs w:val="24"/>
        </w:rPr>
        <w:t xml:space="preserve">NRWSCU </w:t>
      </w:r>
      <w:r w:rsidR="0016549D" w:rsidRPr="00920CAD">
        <w:rPr>
          <w:rFonts w:ascii="Arial" w:hAnsi="Arial" w:cs="Arial"/>
          <w:szCs w:val="24"/>
        </w:rPr>
        <w:t>shall be</w:t>
      </w:r>
      <w:r w:rsidR="004E6AFF" w:rsidRPr="00920CAD">
        <w:rPr>
          <w:rFonts w:ascii="Arial" w:hAnsi="Arial" w:cs="Arial"/>
          <w:szCs w:val="24"/>
        </w:rPr>
        <w:t xml:space="preserve"> </w:t>
      </w:r>
      <w:r w:rsidR="001D24BF" w:rsidRPr="00920CAD">
        <w:rPr>
          <w:rFonts w:ascii="Arial" w:hAnsi="Arial" w:cs="Arial"/>
          <w:szCs w:val="24"/>
        </w:rPr>
        <w:t xml:space="preserve">as established by CSDLAC or </w:t>
      </w:r>
      <w:r w:rsidR="00203B70" w:rsidRPr="00920CAD">
        <w:rPr>
          <w:rFonts w:ascii="Arial" w:hAnsi="Arial" w:cs="Arial"/>
          <w:szCs w:val="24"/>
        </w:rPr>
        <w:t>$</w:t>
      </w:r>
      <w:r w:rsidR="00A36577" w:rsidRPr="00920CAD">
        <w:rPr>
          <w:rFonts w:ascii="Arial" w:hAnsi="Arial" w:cs="Arial"/>
          <w:szCs w:val="24"/>
        </w:rPr>
        <w:t>4,</w:t>
      </w:r>
      <w:r w:rsidR="00E1774C" w:rsidRPr="00920CAD">
        <w:rPr>
          <w:rFonts w:ascii="Arial" w:hAnsi="Arial" w:cs="Arial"/>
          <w:szCs w:val="24"/>
        </w:rPr>
        <w:t>172.</w:t>
      </w:r>
      <w:r w:rsidR="00A36577" w:rsidRPr="00920CAD">
        <w:rPr>
          <w:rFonts w:ascii="Arial" w:hAnsi="Arial" w:cs="Arial"/>
          <w:szCs w:val="24"/>
        </w:rPr>
        <w:t>00</w:t>
      </w:r>
      <w:r w:rsidR="00203B70" w:rsidRPr="00920CAD">
        <w:rPr>
          <w:rFonts w:ascii="Arial" w:hAnsi="Arial" w:cs="Arial"/>
          <w:szCs w:val="24"/>
        </w:rPr>
        <w:t xml:space="preserve"> </w:t>
      </w:r>
      <w:r w:rsidR="00F14EC1" w:rsidRPr="00920CAD">
        <w:rPr>
          <w:rFonts w:ascii="Arial" w:hAnsi="Arial" w:cs="Arial"/>
          <w:szCs w:val="24"/>
        </w:rPr>
        <w:t xml:space="preserve">per </w:t>
      </w:r>
      <w:r w:rsidR="003838DD" w:rsidRPr="00920CAD">
        <w:rPr>
          <w:rFonts w:ascii="Arial" w:hAnsi="Arial" w:cs="Arial"/>
          <w:szCs w:val="24"/>
        </w:rPr>
        <w:t>NRWSCU</w:t>
      </w:r>
      <w:r w:rsidR="00F14EC1" w:rsidRPr="00920CAD">
        <w:rPr>
          <w:rFonts w:ascii="Arial" w:hAnsi="Arial" w:cs="Arial"/>
          <w:szCs w:val="24"/>
        </w:rPr>
        <w:t>.</w:t>
      </w:r>
      <w:r w:rsidR="00640C4E" w:rsidRPr="00920CAD">
        <w:rPr>
          <w:rFonts w:ascii="Arial" w:hAnsi="Arial" w:cs="Arial"/>
          <w:szCs w:val="24"/>
        </w:rPr>
        <w:t xml:space="preserve">  </w:t>
      </w:r>
    </w:p>
    <w:p w14:paraId="27FF2DB5" w14:textId="77777777" w:rsidR="00270425" w:rsidRPr="00920CAD" w:rsidRDefault="00270425" w:rsidP="00977B2D">
      <w:pPr>
        <w:ind w:left="1440"/>
        <w:jc w:val="both"/>
        <w:rPr>
          <w:rFonts w:ascii="Arial" w:hAnsi="Arial" w:cs="Arial"/>
          <w:szCs w:val="24"/>
        </w:rPr>
      </w:pPr>
    </w:p>
    <w:p w14:paraId="03893034" w14:textId="77777777" w:rsidR="0016549D" w:rsidRPr="00920CAD" w:rsidRDefault="005B20E8" w:rsidP="00977B2D">
      <w:pPr>
        <w:pStyle w:val="ListParagraph"/>
        <w:numPr>
          <w:ilvl w:val="0"/>
          <w:numId w:val="31"/>
        </w:numPr>
        <w:jc w:val="both"/>
        <w:rPr>
          <w:rFonts w:ascii="Arial" w:hAnsi="Arial" w:cs="Arial"/>
          <w:szCs w:val="24"/>
        </w:rPr>
      </w:pPr>
      <w:r w:rsidRPr="00920CAD">
        <w:rPr>
          <w:rFonts w:ascii="Arial" w:hAnsi="Arial" w:cs="Arial"/>
          <w:szCs w:val="24"/>
        </w:rPr>
        <w:t>T</w:t>
      </w:r>
      <w:r w:rsidR="00270425" w:rsidRPr="00920CAD">
        <w:rPr>
          <w:rFonts w:ascii="Arial" w:hAnsi="Arial" w:cs="Arial"/>
          <w:szCs w:val="24"/>
        </w:rPr>
        <w:t xml:space="preserve">he </w:t>
      </w:r>
      <w:r w:rsidR="00303789" w:rsidRPr="00920CAD">
        <w:rPr>
          <w:rFonts w:ascii="Arial" w:hAnsi="Arial" w:cs="Arial"/>
          <w:szCs w:val="24"/>
        </w:rPr>
        <w:t xml:space="preserve">optional </w:t>
      </w:r>
      <w:r w:rsidR="001B04F0" w:rsidRPr="00920CAD">
        <w:rPr>
          <w:rFonts w:ascii="Arial" w:hAnsi="Arial" w:cs="Arial"/>
          <w:b/>
          <w:szCs w:val="24"/>
        </w:rPr>
        <w:t>annual</w:t>
      </w:r>
      <w:r w:rsidR="00270425" w:rsidRPr="00920CAD">
        <w:rPr>
          <w:rFonts w:ascii="Arial" w:hAnsi="Arial" w:cs="Arial"/>
          <w:b/>
          <w:szCs w:val="24"/>
        </w:rPr>
        <w:t xml:space="preserve"> lease rate</w:t>
      </w:r>
      <w:r w:rsidR="00270425" w:rsidRPr="00920CAD">
        <w:rPr>
          <w:rFonts w:ascii="Arial" w:hAnsi="Arial" w:cs="Arial"/>
          <w:szCs w:val="24"/>
        </w:rPr>
        <w:t xml:space="preserve"> for</w:t>
      </w:r>
      <w:r w:rsidR="00A8012C" w:rsidRPr="00920CAD">
        <w:rPr>
          <w:rFonts w:ascii="Arial" w:hAnsi="Arial" w:cs="Arial"/>
          <w:szCs w:val="24"/>
        </w:rPr>
        <w:t xml:space="preserve"> the right to discharge</w:t>
      </w:r>
      <w:r w:rsidR="00270425" w:rsidRPr="00920CAD">
        <w:rPr>
          <w:rFonts w:ascii="Arial" w:hAnsi="Arial" w:cs="Arial"/>
          <w:szCs w:val="24"/>
        </w:rPr>
        <w:t xml:space="preserve"> one (1) </w:t>
      </w:r>
      <w:r w:rsidR="003838DD" w:rsidRPr="00920CAD">
        <w:rPr>
          <w:rFonts w:ascii="Arial" w:hAnsi="Arial" w:cs="Arial"/>
          <w:szCs w:val="24"/>
        </w:rPr>
        <w:t xml:space="preserve">NRWSCU </w:t>
      </w:r>
      <w:r w:rsidR="00270425" w:rsidRPr="00920CAD">
        <w:rPr>
          <w:rFonts w:ascii="Arial" w:hAnsi="Arial" w:cs="Arial"/>
          <w:szCs w:val="24"/>
        </w:rPr>
        <w:t>shall be 5%</w:t>
      </w:r>
      <w:r w:rsidR="00B37F98" w:rsidRPr="00920CAD">
        <w:rPr>
          <w:rFonts w:ascii="Arial" w:hAnsi="Arial" w:cs="Arial"/>
          <w:szCs w:val="24"/>
        </w:rPr>
        <w:t xml:space="preserve"> per year</w:t>
      </w:r>
      <w:r w:rsidR="00720E2F" w:rsidRPr="00920CAD">
        <w:rPr>
          <w:rFonts w:ascii="Arial" w:hAnsi="Arial" w:cs="Arial"/>
          <w:szCs w:val="24"/>
        </w:rPr>
        <w:t xml:space="preserve"> of the purchase rate</w:t>
      </w:r>
      <w:r w:rsidR="00203B70" w:rsidRPr="00920CAD">
        <w:rPr>
          <w:rFonts w:ascii="Arial" w:hAnsi="Arial" w:cs="Arial"/>
          <w:szCs w:val="24"/>
        </w:rPr>
        <w:t>, i.e. $</w:t>
      </w:r>
      <w:r w:rsidR="00A36577" w:rsidRPr="00920CAD">
        <w:rPr>
          <w:rFonts w:ascii="Arial" w:hAnsi="Arial" w:cs="Arial"/>
          <w:szCs w:val="24"/>
        </w:rPr>
        <w:t>2</w:t>
      </w:r>
      <w:r w:rsidR="00E1774C" w:rsidRPr="00920CAD">
        <w:rPr>
          <w:rFonts w:ascii="Arial" w:hAnsi="Arial" w:cs="Arial"/>
          <w:szCs w:val="24"/>
        </w:rPr>
        <w:t>0</w:t>
      </w:r>
      <w:r w:rsidR="003D07C9" w:rsidRPr="00920CAD">
        <w:rPr>
          <w:rFonts w:ascii="Arial" w:hAnsi="Arial" w:cs="Arial"/>
          <w:szCs w:val="24"/>
        </w:rPr>
        <w:t>8</w:t>
      </w:r>
      <w:r w:rsidR="00A36577" w:rsidRPr="00920CAD">
        <w:rPr>
          <w:rFonts w:ascii="Arial" w:hAnsi="Arial" w:cs="Arial"/>
          <w:szCs w:val="24"/>
        </w:rPr>
        <w:t>.</w:t>
      </w:r>
      <w:r w:rsidR="003D07C9" w:rsidRPr="00920CAD">
        <w:rPr>
          <w:rFonts w:ascii="Arial" w:hAnsi="Arial" w:cs="Arial"/>
          <w:szCs w:val="24"/>
        </w:rPr>
        <w:t>6</w:t>
      </w:r>
      <w:r w:rsidR="00E1774C" w:rsidRPr="00920CAD">
        <w:rPr>
          <w:rFonts w:ascii="Arial" w:hAnsi="Arial" w:cs="Arial"/>
          <w:szCs w:val="24"/>
        </w:rPr>
        <w:t>0</w:t>
      </w:r>
      <w:r w:rsidR="00203B70" w:rsidRPr="00920CAD">
        <w:rPr>
          <w:rFonts w:ascii="Arial" w:hAnsi="Arial" w:cs="Arial"/>
          <w:szCs w:val="24"/>
        </w:rPr>
        <w:t xml:space="preserve"> per NRWSCU per</w:t>
      </w:r>
      <w:r w:rsidR="001635FB" w:rsidRPr="00920CAD">
        <w:rPr>
          <w:rFonts w:ascii="Arial" w:hAnsi="Arial" w:cs="Arial"/>
          <w:szCs w:val="24"/>
        </w:rPr>
        <w:t xml:space="preserve"> each</w:t>
      </w:r>
      <w:r w:rsidR="00203B70" w:rsidRPr="00920CAD">
        <w:rPr>
          <w:rFonts w:ascii="Arial" w:hAnsi="Arial" w:cs="Arial"/>
          <w:szCs w:val="24"/>
        </w:rPr>
        <w:t xml:space="preserve"> year</w:t>
      </w:r>
      <w:r w:rsidR="00B37F98" w:rsidRPr="00920CAD">
        <w:rPr>
          <w:rFonts w:ascii="Arial" w:hAnsi="Arial" w:cs="Arial"/>
          <w:szCs w:val="24"/>
        </w:rPr>
        <w:t>.</w:t>
      </w:r>
      <w:r w:rsidR="00640C4E" w:rsidRPr="00920CAD">
        <w:rPr>
          <w:rFonts w:ascii="Arial" w:hAnsi="Arial" w:cs="Arial"/>
          <w:szCs w:val="24"/>
        </w:rPr>
        <w:t xml:space="preserve">  </w:t>
      </w:r>
    </w:p>
    <w:p w14:paraId="410AFE40" w14:textId="77777777" w:rsidR="00F14EC1" w:rsidRPr="00920CAD" w:rsidRDefault="00F14EC1" w:rsidP="00977B2D">
      <w:pPr>
        <w:pStyle w:val="ListParagraph"/>
        <w:ind w:left="1440"/>
        <w:rPr>
          <w:rFonts w:ascii="Arial" w:hAnsi="Arial" w:cs="Arial"/>
          <w:szCs w:val="24"/>
        </w:rPr>
      </w:pPr>
    </w:p>
    <w:p w14:paraId="5DC8C267" w14:textId="77777777" w:rsidR="00F14EC1" w:rsidRPr="00920CAD" w:rsidRDefault="00F14EC1" w:rsidP="00977B2D">
      <w:pPr>
        <w:pStyle w:val="ListParagraph"/>
        <w:ind w:left="1440"/>
        <w:jc w:val="both"/>
        <w:rPr>
          <w:rFonts w:ascii="Arial" w:hAnsi="Arial" w:cs="Arial"/>
          <w:szCs w:val="24"/>
        </w:rPr>
      </w:pPr>
      <w:r w:rsidRPr="00920CAD">
        <w:rPr>
          <w:rFonts w:ascii="Arial" w:hAnsi="Arial" w:cs="Arial"/>
          <w:szCs w:val="24"/>
        </w:rPr>
        <w:t xml:space="preserve">The above charges shall be paid in full upon the execution of the </w:t>
      </w:r>
      <w:r w:rsidR="003838DD" w:rsidRPr="00920CAD">
        <w:rPr>
          <w:rFonts w:ascii="Arial" w:hAnsi="Arial" w:cs="Arial"/>
          <w:szCs w:val="24"/>
        </w:rPr>
        <w:t xml:space="preserve">NRWSCU </w:t>
      </w:r>
      <w:r w:rsidRPr="00920CAD">
        <w:rPr>
          <w:rFonts w:ascii="Arial" w:hAnsi="Arial" w:cs="Arial"/>
          <w:szCs w:val="24"/>
        </w:rPr>
        <w:t>purchase or lease.</w:t>
      </w:r>
    </w:p>
    <w:p w14:paraId="79D6CB7F" w14:textId="77777777" w:rsidR="004E6AFF" w:rsidRPr="00920CAD" w:rsidRDefault="004E6AFF" w:rsidP="00F14EC1">
      <w:pPr>
        <w:pStyle w:val="ListParagraph"/>
        <w:ind w:left="1800"/>
        <w:jc w:val="both"/>
        <w:rPr>
          <w:rFonts w:ascii="Arial" w:hAnsi="Arial" w:cs="Arial"/>
          <w:szCs w:val="24"/>
        </w:rPr>
      </w:pPr>
    </w:p>
    <w:p w14:paraId="4049BE6C" w14:textId="77777777" w:rsidR="0016549D" w:rsidRPr="00920CAD" w:rsidRDefault="000B6B8C" w:rsidP="00977B2D">
      <w:pPr>
        <w:ind w:left="720"/>
        <w:jc w:val="both"/>
        <w:rPr>
          <w:rFonts w:ascii="Arial" w:hAnsi="Arial" w:cs="Arial"/>
          <w:szCs w:val="24"/>
        </w:rPr>
      </w:pPr>
      <w:r w:rsidRPr="00920CAD">
        <w:rPr>
          <w:rFonts w:ascii="Arial" w:hAnsi="Arial" w:cs="Arial"/>
          <w:b/>
          <w:szCs w:val="24"/>
          <w:u w:val="single"/>
        </w:rPr>
        <w:t>Se</w:t>
      </w:r>
      <w:r w:rsidR="0016549D" w:rsidRPr="00920CAD">
        <w:rPr>
          <w:rFonts w:ascii="Arial" w:hAnsi="Arial" w:cs="Arial"/>
          <w:b/>
          <w:szCs w:val="24"/>
          <w:u w:val="single"/>
        </w:rPr>
        <w:t xml:space="preserve">ction </w:t>
      </w:r>
      <w:r w:rsidR="00EC7C4B" w:rsidRPr="00920CAD">
        <w:rPr>
          <w:rFonts w:ascii="Arial" w:hAnsi="Arial" w:cs="Arial"/>
          <w:b/>
          <w:szCs w:val="24"/>
          <w:u w:val="single"/>
        </w:rPr>
        <w:t>2</w:t>
      </w:r>
      <w:r w:rsidR="0016549D" w:rsidRPr="00920CAD">
        <w:rPr>
          <w:rFonts w:ascii="Arial" w:hAnsi="Arial" w:cs="Arial"/>
          <w:szCs w:val="24"/>
        </w:rPr>
        <w:tab/>
        <w:t>That the monthly charges for discharge to the NRWS are:</w:t>
      </w:r>
    </w:p>
    <w:p w14:paraId="681B15AA" w14:textId="77777777" w:rsidR="0016549D" w:rsidRPr="00920CAD" w:rsidRDefault="0016549D" w:rsidP="00977B2D">
      <w:pPr>
        <w:ind w:left="720"/>
        <w:jc w:val="both"/>
        <w:rPr>
          <w:rFonts w:ascii="Arial" w:hAnsi="Arial" w:cs="Arial"/>
          <w:szCs w:val="24"/>
        </w:rPr>
      </w:pPr>
    </w:p>
    <w:p w14:paraId="721B1231" w14:textId="77777777" w:rsidR="0016549D" w:rsidRPr="00920CAD" w:rsidRDefault="000F3E47" w:rsidP="00977B2D">
      <w:pPr>
        <w:numPr>
          <w:ilvl w:val="0"/>
          <w:numId w:val="18"/>
        </w:numPr>
        <w:tabs>
          <w:tab w:val="clear" w:pos="2340"/>
        </w:tabs>
        <w:ind w:left="1440"/>
        <w:jc w:val="both"/>
        <w:rPr>
          <w:rFonts w:ascii="Arial" w:hAnsi="Arial" w:cs="Arial"/>
          <w:szCs w:val="24"/>
        </w:rPr>
      </w:pPr>
      <w:r w:rsidRPr="00920CAD">
        <w:rPr>
          <w:rFonts w:ascii="Arial" w:hAnsi="Arial" w:cs="Arial"/>
          <w:szCs w:val="24"/>
        </w:rPr>
        <w:t>VOLUMETRIC CHARGES</w:t>
      </w:r>
    </w:p>
    <w:p w14:paraId="1395D02C" w14:textId="77777777" w:rsidR="0016549D" w:rsidRPr="00920CAD" w:rsidRDefault="0016549D" w:rsidP="00977B2D">
      <w:pPr>
        <w:ind w:left="1440"/>
        <w:jc w:val="both"/>
        <w:rPr>
          <w:rFonts w:ascii="Arial" w:hAnsi="Arial" w:cs="Arial"/>
          <w:szCs w:val="24"/>
        </w:rPr>
      </w:pPr>
    </w:p>
    <w:p w14:paraId="755FF0E3" w14:textId="25540C3D" w:rsidR="0016549D" w:rsidRPr="00920CAD" w:rsidRDefault="0016549D" w:rsidP="00977B2D">
      <w:pPr>
        <w:ind w:left="1440"/>
        <w:jc w:val="both"/>
        <w:rPr>
          <w:rFonts w:ascii="Arial" w:hAnsi="Arial" w:cs="Arial"/>
          <w:szCs w:val="24"/>
        </w:rPr>
      </w:pPr>
      <w:r w:rsidRPr="00920CAD">
        <w:rPr>
          <w:rFonts w:ascii="Arial" w:hAnsi="Arial" w:cs="Arial"/>
          <w:szCs w:val="24"/>
        </w:rPr>
        <w:t xml:space="preserve">For discharge to the NRWS, the monthly </w:t>
      </w:r>
      <w:r w:rsidR="00C463AE" w:rsidRPr="00920CAD">
        <w:rPr>
          <w:rFonts w:ascii="Arial" w:hAnsi="Arial" w:cs="Arial"/>
          <w:szCs w:val="24"/>
        </w:rPr>
        <w:t>v</w:t>
      </w:r>
      <w:r w:rsidRPr="00920CAD">
        <w:rPr>
          <w:rFonts w:ascii="Arial" w:hAnsi="Arial" w:cs="Arial"/>
          <w:szCs w:val="24"/>
        </w:rPr>
        <w:t xml:space="preserve">olumetric </w:t>
      </w:r>
      <w:r w:rsidR="00C463AE" w:rsidRPr="00920CAD">
        <w:rPr>
          <w:rFonts w:ascii="Arial" w:hAnsi="Arial" w:cs="Arial"/>
          <w:szCs w:val="24"/>
        </w:rPr>
        <w:t>c</w:t>
      </w:r>
      <w:r w:rsidRPr="00920CAD">
        <w:rPr>
          <w:rFonts w:ascii="Arial" w:hAnsi="Arial" w:cs="Arial"/>
          <w:szCs w:val="24"/>
        </w:rPr>
        <w:t xml:space="preserve">harge is </w:t>
      </w:r>
      <w:r w:rsidR="002B5557" w:rsidRPr="00920CAD">
        <w:rPr>
          <w:rFonts w:ascii="Arial" w:hAnsi="Arial" w:cs="Arial"/>
          <w:szCs w:val="24"/>
        </w:rPr>
        <w:t>$</w:t>
      </w:r>
      <w:r w:rsidR="00170710" w:rsidRPr="00920CAD">
        <w:rPr>
          <w:rFonts w:ascii="Arial" w:hAnsi="Arial" w:cs="Arial"/>
          <w:szCs w:val="24"/>
        </w:rPr>
        <w:t>940</w:t>
      </w:r>
      <w:r w:rsidR="002B5557" w:rsidRPr="00920CAD">
        <w:rPr>
          <w:rFonts w:ascii="Arial" w:hAnsi="Arial" w:cs="Arial"/>
          <w:szCs w:val="24"/>
        </w:rPr>
        <w:t xml:space="preserve">.00 </w:t>
      </w:r>
      <w:r w:rsidRPr="00920CAD">
        <w:rPr>
          <w:rFonts w:ascii="Arial" w:hAnsi="Arial" w:cs="Arial"/>
          <w:szCs w:val="24"/>
        </w:rPr>
        <w:t xml:space="preserve">per </w:t>
      </w:r>
      <w:r w:rsidR="00A467F7" w:rsidRPr="00920CAD">
        <w:rPr>
          <w:rFonts w:ascii="Arial" w:hAnsi="Arial" w:cs="Arial"/>
          <w:szCs w:val="24"/>
        </w:rPr>
        <w:t>m</w:t>
      </w:r>
      <w:r w:rsidRPr="00920CAD">
        <w:rPr>
          <w:rFonts w:ascii="Arial" w:hAnsi="Arial" w:cs="Arial"/>
          <w:szCs w:val="24"/>
        </w:rPr>
        <w:t xml:space="preserve">illion </w:t>
      </w:r>
      <w:r w:rsidR="00A467F7" w:rsidRPr="00920CAD">
        <w:rPr>
          <w:rFonts w:ascii="Arial" w:hAnsi="Arial" w:cs="Arial"/>
          <w:szCs w:val="24"/>
        </w:rPr>
        <w:t>g</w:t>
      </w:r>
      <w:r w:rsidRPr="00920CAD">
        <w:rPr>
          <w:rFonts w:ascii="Arial" w:hAnsi="Arial" w:cs="Arial"/>
          <w:szCs w:val="24"/>
        </w:rPr>
        <w:t>allons of discharge.</w:t>
      </w:r>
    </w:p>
    <w:p w14:paraId="2D7529E1" w14:textId="02D459CF" w:rsidR="00EE6138" w:rsidRPr="00920CAD" w:rsidRDefault="00EE6138" w:rsidP="00977B2D">
      <w:pPr>
        <w:ind w:left="1440"/>
        <w:jc w:val="both"/>
        <w:rPr>
          <w:rFonts w:ascii="Arial" w:hAnsi="Arial" w:cs="Arial"/>
          <w:szCs w:val="24"/>
        </w:rPr>
      </w:pPr>
    </w:p>
    <w:p w14:paraId="00D24742" w14:textId="77777777" w:rsidR="00D72D40" w:rsidRPr="00920CAD" w:rsidRDefault="00AD7FC2" w:rsidP="00977B2D">
      <w:pPr>
        <w:pStyle w:val="ListParagraph"/>
        <w:numPr>
          <w:ilvl w:val="0"/>
          <w:numId w:val="18"/>
        </w:numPr>
        <w:tabs>
          <w:tab w:val="clear" w:pos="2340"/>
        </w:tabs>
        <w:ind w:left="1440"/>
        <w:jc w:val="both"/>
        <w:rPr>
          <w:rFonts w:ascii="Arial" w:hAnsi="Arial" w:cs="Arial"/>
          <w:szCs w:val="24"/>
        </w:rPr>
      </w:pPr>
      <w:r w:rsidRPr="00920CAD">
        <w:rPr>
          <w:rFonts w:ascii="Arial" w:hAnsi="Arial" w:cs="Arial"/>
          <w:szCs w:val="24"/>
        </w:rPr>
        <w:t>PEAK FLOW CHARGES</w:t>
      </w:r>
    </w:p>
    <w:p w14:paraId="1E044EF9" w14:textId="77777777" w:rsidR="00D72D40" w:rsidRPr="00920CAD" w:rsidRDefault="00D72D40" w:rsidP="00977B2D">
      <w:pPr>
        <w:pStyle w:val="ListParagraph"/>
        <w:ind w:left="1440"/>
        <w:jc w:val="both"/>
        <w:rPr>
          <w:rFonts w:ascii="Arial" w:hAnsi="Arial" w:cs="Arial"/>
          <w:szCs w:val="24"/>
        </w:rPr>
      </w:pPr>
    </w:p>
    <w:p w14:paraId="26566F71" w14:textId="2AC13CBB" w:rsidR="00D72D40" w:rsidRPr="00920CAD" w:rsidRDefault="00D72D40" w:rsidP="00977B2D">
      <w:pPr>
        <w:pStyle w:val="ListParagraph"/>
        <w:ind w:left="1440"/>
        <w:jc w:val="both"/>
        <w:rPr>
          <w:rFonts w:ascii="Arial" w:hAnsi="Arial" w:cs="Arial"/>
          <w:szCs w:val="24"/>
        </w:rPr>
      </w:pPr>
      <w:r w:rsidRPr="00920CAD">
        <w:rPr>
          <w:rFonts w:ascii="Arial" w:hAnsi="Arial" w:cs="Arial"/>
          <w:szCs w:val="24"/>
        </w:rPr>
        <w:t xml:space="preserve">For discharge to the NRWS, the monthly </w:t>
      </w:r>
      <w:r w:rsidR="00C737E1" w:rsidRPr="00920CAD">
        <w:rPr>
          <w:rFonts w:ascii="Arial" w:hAnsi="Arial" w:cs="Arial"/>
          <w:szCs w:val="24"/>
        </w:rPr>
        <w:t>P</w:t>
      </w:r>
      <w:r w:rsidRPr="00920CAD">
        <w:rPr>
          <w:rFonts w:ascii="Arial" w:hAnsi="Arial" w:cs="Arial"/>
          <w:szCs w:val="24"/>
        </w:rPr>
        <w:t xml:space="preserve">eak </w:t>
      </w:r>
      <w:r w:rsidR="00C737E1" w:rsidRPr="00920CAD">
        <w:rPr>
          <w:rFonts w:ascii="Arial" w:hAnsi="Arial" w:cs="Arial"/>
          <w:szCs w:val="24"/>
        </w:rPr>
        <w:t>F</w:t>
      </w:r>
      <w:r w:rsidRPr="00920CAD">
        <w:rPr>
          <w:rFonts w:ascii="Arial" w:hAnsi="Arial" w:cs="Arial"/>
          <w:szCs w:val="24"/>
        </w:rPr>
        <w:t>low</w:t>
      </w:r>
      <w:r w:rsidR="00774AC1" w:rsidRPr="00920CAD">
        <w:rPr>
          <w:rFonts w:ascii="Arial" w:hAnsi="Arial" w:cs="Arial"/>
          <w:szCs w:val="24"/>
        </w:rPr>
        <w:t xml:space="preserve"> </w:t>
      </w:r>
      <w:r w:rsidR="00265EDD" w:rsidRPr="00920CAD">
        <w:rPr>
          <w:rFonts w:ascii="Arial" w:hAnsi="Arial" w:cs="Arial"/>
          <w:szCs w:val="24"/>
        </w:rPr>
        <w:t xml:space="preserve">(PF) Charge </w:t>
      </w:r>
      <w:r w:rsidRPr="00920CAD">
        <w:rPr>
          <w:rFonts w:ascii="Arial" w:hAnsi="Arial" w:cs="Arial"/>
          <w:szCs w:val="24"/>
        </w:rPr>
        <w:t xml:space="preserve">shall be </w:t>
      </w:r>
      <w:r w:rsidR="002B5557" w:rsidRPr="00920CAD">
        <w:rPr>
          <w:rFonts w:ascii="Arial" w:hAnsi="Arial" w:cs="Arial"/>
          <w:szCs w:val="24"/>
        </w:rPr>
        <w:t>$3</w:t>
      </w:r>
      <w:r w:rsidR="00170710" w:rsidRPr="00920CAD">
        <w:rPr>
          <w:rFonts w:ascii="Arial" w:hAnsi="Arial" w:cs="Arial"/>
          <w:szCs w:val="24"/>
        </w:rPr>
        <w:t>57</w:t>
      </w:r>
      <w:r w:rsidR="002B5557" w:rsidRPr="00920CAD">
        <w:rPr>
          <w:rFonts w:ascii="Arial" w:hAnsi="Arial" w:cs="Arial"/>
          <w:szCs w:val="24"/>
        </w:rPr>
        <w:t xml:space="preserve">.00 </w:t>
      </w:r>
      <w:r w:rsidR="00A772C4" w:rsidRPr="00920CAD">
        <w:rPr>
          <w:rFonts w:ascii="Arial" w:hAnsi="Arial" w:cs="Arial"/>
          <w:szCs w:val="24"/>
        </w:rPr>
        <w:t>per million gallons of volumetric discharge.</w:t>
      </w:r>
    </w:p>
    <w:p w14:paraId="5CFDFDE1" w14:textId="77777777" w:rsidR="00C737E1" w:rsidRPr="00920CAD" w:rsidRDefault="00C737E1" w:rsidP="00977B2D">
      <w:pPr>
        <w:ind w:left="1440"/>
        <w:jc w:val="both"/>
        <w:rPr>
          <w:rFonts w:ascii="Arial" w:hAnsi="Arial" w:cs="Arial"/>
          <w:szCs w:val="24"/>
        </w:rPr>
      </w:pPr>
    </w:p>
    <w:p w14:paraId="6603A98E" w14:textId="77777777" w:rsidR="0016549D" w:rsidRPr="00920CAD" w:rsidRDefault="000F3E47" w:rsidP="00977B2D">
      <w:pPr>
        <w:numPr>
          <w:ilvl w:val="0"/>
          <w:numId w:val="18"/>
        </w:numPr>
        <w:tabs>
          <w:tab w:val="clear" w:pos="2340"/>
        </w:tabs>
        <w:ind w:left="1440"/>
        <w:jc w:val="both"/>
        <w:rPr>
          <w:rFonts w:ascii="Arial" w:hAnsi="Arial" w:cs="Arial"/>
          <w:szCs w:val="24"/>
        </w:rPr>
      </w:pPr>
      <w:r w:rsidRPr="00920CAD">
        <w:rPr>
          <w:rFonts w:ascii="Arial" w:hAnsi="Arial" w:cs="Arial"/>
          <w:szCs w:val="24"/>
        </w:rPr>
        <w:t>STRENGTH CHARGES</w:t>
      </w:r>
    </w:p>
    <w:p w14:paraId="358C9017" w14:textId="77777777" w:rsidR="0016549D" w:rsidRPr="00920CAD" w:rsidRDefault="0016549D" w:rsidP="00977B2D">
      <w:pPr>
        <w:ind w:left="1440"/>
        <w:jc w:val="both"/>
        <w:rPr>
          <w:rFonts w:ascii="Arial" w:hAnsi="Arial" w:cs="Arial"/>
          <w:szCs w:val="24"/>
        </w:rPr>
      </w:pPr>
    </w:p>
    <w:p w14:paraId="6C80A496" w14:textId="77777777" w:rsidR="0016549D" w:rsidRPr="00920CAD" w:rsidRDefault="0016549D" w:rsidP="00977B2D">
      <w:pPr>
        <w:ind w:left="1440"/>
        <w:jc w:val="both"/>
        <w:rPr>
          <w:rFonts w:ascii="Arial" w:hAnsi="Arial" w:cs="Arial"/>
          <w:szCs w:val="24"/>
        </w:rPr>
      </w:pPr>
      <w:r w:rsidRPr="00920CAD">
        <w:rPr>
          <w:rFonts w:ascii="Arial" w:hAnsi="Arial" w:cs="Arial"/>
          <w:szCs w:val="24"/>
        </w:rPr>
        <w:t xml:space="preserve">That Strength Charges are </w:t>
      </w:r>
      <w:r w:rsidR="00CE5266" w:rsidRPr="00920CAD">
        <w:rPr>
          <w:rFonts w:ascii="Arial" w:hAnsi="Arial" w:cs="Arial"/>
          <w:szCs w:val="24"/>
        </w:rPr>
        <w:t xml:space="preserve">for excessive Chemical Oxygen Demand (COD) and Total Suspended Solids (TSS) and are </w:t>
      </w:r>
      <w:r w:rsidRPr="00920CAD">
        <w:rPr>
          <w:rFonts w:ascii="Arial" w:hAnsi="Arial" w:cs="Arial"/>
          <w:szCs w:val="24"/>
        </w:rPr>
        <w:t>applicable to all discharges to the NRWS</w:t>
      </w:r>
      <w:r w:rsidR="00CE5266" w:rsidRPr="00920CAD">
        <w:rPr>
          <w:rFonts w:ascii="Arial" w:hAnsi="Arial" w:cs="Arial"/>
          <w:szCs w:val="24"/>
        </w:rPr>
        <w:t>.</w:t>
      </w:r>
      <w:r w:rsidRPr="00920CAD">
        <w:rPr>
          <w:rFonts w:ascii="Arial" w:hAnsi="Arial" w:cs="Arial"/>
          <w:szCs w:val="24"/>
        </w:rPr>
        <w:t xml:space="preserve"> </w:t>
      </w:r>
      <w:r w:rsidR="00CE5266" w:rsidRPr="00920CAD">
        <w:rPr>
          <w:rFonts w:ascii="Arial" w:hAnsi="Arial" w:cs="Arial"/>
          <w:szCs w:val="24"/>
        </w:rPr>
        <w:t xml:space="preserve"> The rates are</w:t>
      </w:r>
      <w:r w:rsidR="00DD1268" w:rsidRPr="00920CAD">
        <w:rPr>
          <w:rFonts w:ascii="Arial" w:hAnsi="Arial" w:cs="Arial"/>
          <w:szCs w:val="24"/>
        </w:rPr>
        <w:t xml:space="preserve"> as follows:</w:t>
      </w:r>
    </w:p>
    <w:p w14:paraId="1E36ED5B" w14:textId="77777777" w:rsidR="00DD1268" w:rsidRPr="00920CAD" w:rsidRDefault="00DD1268" w:rsidP="00977B2D">
      <w:pPr>
        <w:ind w:left="1440"/>
        <w:jc w:val="both"/>
        <w:rPr>
          <w:rFonts w:ascii="Arial" w:hAnsi="Arial" w:cs="Arial"/>
          <w:szCs w:val="24"/>
        </w:rPr>
      </w:pPr>
    </w:p>
    <w:p w14:paraId="3C3C6E09" w14:textId="77777777" w:rsidR="00DD1268" w:rsidRPr="00920CAD" w:rsidRDefault="00DD1268" w:rsidP="00977B2D">
      <w:pPr>
        <w:ind w:left="1440"/>
        <w:jc w:val="both"/>
        <w:rPr>
          <w:rFonts w:ascii="Arial" w:hAnsi="Arial" w:cs="Arial"/>
          <w:szCs w:val="24"/>
        </w:rPr>
      </w:pPr>
      <w:r w:rsidRPr="00920CAD">
        <w:rPr>
          <w:rFonts w:ascii="Arial" w:hAnsi="Arial" w:cs="Arial"/>
          <w:szCs w:val="24"/>
          <w:u w:val="single"/>
        </w:rPr>
        <w:t>PARAMETER</w:t>
      </w:r>
      <w:r w:rsidRPr="00920CAD">
        <w:rPr>
          <w:rFonts w:ascii="Arial" w:hAnsi="Arial" w:cs="Arial"/>
          <w:szCs w:val="24"/>
        </w:rPr>
        <w:tab/>
      </w:r>
      <w:r w:rsidRPr="00920CAD">
        <w:rPr>
          <w:rFonts w:ascii="Arial" w:hAnsi="Arial" w:cs="Arial"/>
          <w:szCs w:val="24"/>
        </w:rPr>
        <w:tab/>
      </w:r>
      <w:r w:rsidRPr="00920CAD">
        <w:rPr>
          <w:rFonts w:ascii="Arial" w:hAnsi="Arial" w:cs="Arial"/>
          <w:szCs w:val="24"/>
          <w:u w:val="single"/>
        </w:rPr>
        <w:t>RATE</w:t>
      </w:r>
    </w:p>
    <w:p w14:paraId="75562F06" w14:textId="6E30FBD9" w:rsidR="00DD1268" w:rsidRPr="00920CAD" w:rsidRDefault="00DD1268" w:rsidP="00977B2D">
      <w:pPr>
        <w:ind w:left="1440"/>
        <w:jc w:val="both"/>
        <w:rPr>
          <w:rFonts w:ascii="Arial" w:hAnsi="Arial" w:cs="Arial"/>
          <w:szCs w:val="24"/>
        </w:rPr>
      </w:pPr>
      <w:r w:rsidRPr="00920CAD">
        <w:rPr>
          <w:rFonts w:ascii="Arial" w:hAnsi="Arial" w:cs="Arial"/>
          <w:szCs w:val="24"/>
        </w:rPr>
        <w:t>COD</w:t>
      </w:r>
      <w:r w:rsidRPr="00920CAD">
        <w:rPr>
          <w:rFonts w:ascii="Arial" w:hAnsi="Arial" w:cs="Arial"/>
          <w:szCs w:val="24"/>
        </w:rPr>
        <w:tab/>
      </w:r>
      <w:r w:rsidRPr="00920CAD">
        <w:rPr>
          <w:rFonts w:ascii="Arial" w:hAnsi="Arial" w:cs="Arial"/>
          <w:szCs w:val="24"/>
        </w:rPr>
        <w:tab/>
      </w:r>
      <w:r w:rsidRPr="00920CAD">
        <w:rPr>
          <w:rFonts w:ascii="Arial" w:hAnsi="Arial" w:cs="Arial"/>
          <w:szCs w:val="24"/>
        </w:rPr>
        <w:tab/>
      </w:r>
      <w:r w:rsidR="002B5557" w:rsidRPr="00920CAD">
        <w:rPr>
          <w:rFonts w:ascii="Arial" w:hAnsi="Arial" w:cs="Arial"/>
          <w:szCs w:val="24"/>
        </w:rPr>
        <w:t>$</w:t>
      </w:r>
      <w:r w:rsidR="00177DB6" w:rsidRPr="00920CAD">
        <w:rPr>
          <w:rFonts w:ascii="Arial" w:hAnsi="Arial" w:cs="Arial"/>
          <w:szCs w:val="24"/>
        </w:rPr>
        <w:t>1</w:t>
      </w:r>
      <w:r w:rsidR="00EE6138" w:rsidRPr="00920CAD">
        <w:rPr>
          <w:rFonts w:ascii="Arial" w:hAnsi="Arial" w:cs="Arial"/>
          <w:szCs w:val="24"/>
        </w:rPr>
        <w:t>6</w:t>
      </w:r>
      <w:r w:rsidR="00170710" w:rsidRPr="00920CAD">
        <w:rPr>
          <w:rFonts w:ascii="Arial" w:hAnsi="Arial" w:cs="Arial"/>
          <w:szCs w:val="24"/>
        </w:rPr>
        <w:t>6</w:t>
      </w:r>
      <w:r w:rsidR="002B5557" w:rsidRPr="00920CAD">
        <w:rPr>
          <w:rFonts w:ascii="Arial" w:hAnsi="Arial" w:cs="Arial"/>
          <w:szCs w:val="24"/>
        </w:rPr>
        <w:t xml:space="preserve">.00 </w:t>
      </w:r>
      <w:r w:rsidRPr="00920CAD">
        <w:rPr>
          <w:rFonts w:ascii="Arial" w:hAnsi="Arial" w:cs="Arial"/>
          <w:szCs w:val="24"/>
        </w:rPr>
        <w:t>per 1,000 pounds (dry weight)</w:t>
      </w:r>
    </w:p>
    <w:p w14:paraId="0656FEA1" w14:textId="7E88B43C" w:rsidR="00DD1268" w:rsidRPr="00920CAD" w:rsidRDefault="00DD1268" w:rsidP="00977B2D">
      <w:pPr>
        <w:ind w:left="1440"/>
        <w:jc w:val="both"/>
        <w:rPr>
          <w:rFonts w:ascii="Arial" w:hAnsi="Arial" w:cs="Arial"/>
          <w:szCs w:val="24"/>
        </w:rPr>
      </w:pPr>
      <w:r w:rsidRPr="00920CAD">
        <w:rPr>
          <w:rFonts w:ascii="Arial" w:hAnsi="Arial" w:cs="Arial"/>
          <w:szCs w:val="24"/>
        </w:rPr>
        <w:t>TSS</w:t>
      </w:r>
      <w:r w:rsidRPr="00920CAD">
        <w:rPr>
          <w:rFonts w:ascii="Arial" w:hAnsi="Arial" w:cs="Arial"/>
          <w:szCs w:val="24"/>
        </w:rPr>
        <w:tab/>
      </w:r>
      <w:r w:rsidRPr="00920CAD">
        <w:rPr>
          <w:rFonts w:ascii="Arial" w:hAnsi="Arial" w:cs="Arial"/>
          <w:szCs w:val="24"/>
        </w:rPr>
        <w:tab/>
      </w:r>
      <w:r w:rsidRPr="00920CAD">
        <w:rPr>
          <w:rFonts w:ascii="Arial" w:hAnsi="Arial" w:cs="Arial"/>
          <w:szCs w:val="24"/>
        </w:rPr>
        <w:tab/>
      </w:r>
      <w:r w:rsidR="002B5557" w:rsidRPr="00920CAD">
        <w:rPr>
          <w:rFonts w:ascii="Arial" w:hAnsi="Arial" w:cs="Arial"/>
          <w:szCs w:val="24"/>
        </w:rPr>
        <w:t>$4</w:t>
      </w:r>
      <w:r w:rsidR="00170710" w:rsidRPr="00920CAD">
        <w:rPr>
          <w:rFonts w:ascii="Arial" w:hAnsi="Arial" w:cs="Arial"/>
          <w:szCs w:val="24"/>
        </w:rPr>
        <w:t>70</w:t>
      </w:r>
      <w:r w:rsidR="002B5557" w:rsidRPr="00920CAD">
        <w:rPr>
          <w:rFonts w:ascii="Arial" w:hAnsi="Arial" w:cs="Arial"/>
          <w:szCs w:val="24"/>
        </w:rPr>
        <w:t xml:space="preserve">.00 </w:t>
      </w:r>
      <w:r w:rsidRPr="00920CAD">
        <w:rPr>
          <w:rFonts w:ascii="Arial" w:hAnsi="Arial" w:cs="Arial"/>
          <w:szCs w:val="24"/>
        </w:rPr>
        <w:t>per 1,000 pounds (dry weight)</w:t>
      </w:r>
    </w:p>
    <w:p w14:paraId="619F0299" w14:textId="37D9BBB8" w:rsidR="00B14E5E" w:rsidRPr="00920CAD" w:rsidRDefault="00B14E5E" w:rsidP="00977B2D">
      <w:pPr>
        <w:ind w:left="1440"/>
        <w:jc w:val="both"/>
        <w:rPr>
          <w:rFonts w:ascii="Arial" w:hAnsi="Arial" w:cs="Arial"/>
          <w:szCs w:val="24"/>
        </w:rPr>
      </w:pPr>
      <w:r w:rsidRPr="00920CAD">
        <w:rPr>
          <w:rFonts w:ascii="Arial" w:hAnsi="Arial" w:cs="Arial"/>
          <w:szCs w:val="24"/>
        </w:rPr>
        <w:lastRenderedPageBreak/>
        <w:t>Strength charges for the NRWS discharges are calculated from the average of all the samples collected during the calendar month and invoiced on a quarterly basis.</w:t>
      </w:r>
      <w:r w:rsidR="00C63473" w:rsidRPr="00920CAD">
        <w:rPr>
          <w:rFonts w:ascii="Arial" w:hAnsi="Arial" w:cs="Arial"/>
          <w:szCs w:val="24"/>
        </w:rPr>
        <w:t xml:space="preserve">  </w:t>
      </w:r>
      <w:r w:rsidR="00C258D2" w:rsidRPr="00920CAD">
        <w:rPr>
          <w:rFonts w:ascii="Arial" w:hAnsi="Arial" w:cs="Arial"/>
          <w:szCs w:val="24"/>
        </w:rPr>
        <w:t xml:space="preserve">If there is no sample data for a given month, strength charges </w:t>
      </w:r>
      <w:r w:rsidR="00AC14A0" w:rsidRPr="00920CAD">
        <w:rPr>
          <w:rFonts w:ascii="Arial" w:hAnsi="Arial" w:cs="Arial"/>
          <w:szCs w:val="24"/>
        </w:rPr>
        <w:t xml:space="preserve">for that month </w:t>
      </w:r>
      <w:r w:rsidR="00C258D2" w:rsidRPr="00920CAD">
        <w:rPr>
          <w:rFonts w:ascii="Arial" w:hAnsi="Arial" w:cs="Arial"/>
          <w:szCs w:val="24"/>
        </w:rPr>
        <w:t xml:space="preserve">shall be determined by using the </w:t>
      </w:r>
      <w:bookmarkStart w:id="0" w:name="_Hlk8128840"/>
      <w:r w:rsidR="00B248C4" w:rsidRPr="00920CAD">
        <w:rPr>
          <w:rFonts w:ascii="Arial" w:hAnsi="Arial" w:cs="Arial"/>
          <w:szCs w:val="24"/>
        </w:rPr>
        <w:t>average</w:t>
      </w:r>
      <w:r w:rsidR="002C65B0" w:rsidRPr="00920CAD">
        <w:rPr>
          <w:rFonts w:ascii="Arial" w:hAnsi="Arial" w:cs="Arial"/>
          <w:szCs w:val="24"/>
        </w:rPr>
        <w:t xml:space="preserve"> value</w:t>
      </w:r>
      <w:bookmarkEnd w:id="0"/>
      <w:r w:rsidR="002C65B0" w:rsidRPr="00920CAD">
        <w:rPr>
          <w:rFonts w:ascii="Arial" w:hAnsi="Arial" w:cs="Arial"/>
          <w:szCs w:val="24"/>
        </w:rPr>
        <w:t xml:space="preserve"> of all available data from the previous 12 months.</w:t>
      </w:r>
    </w:p>
    <w:p w14:paraId="2C3389BD" w14:textId="77777777" w:rsidR="00B14E5E" w:rsidRPr="00920CAD" w:rsidRDefault="00B14E5E" w:rsidP="00977B2D">
      <w:pPr>
        <w:ind w:left="1440"/>
        <w:jc w:val="both"/>
        <w:rPr>
          <w:rFonts w:ascii="Arial" w:hAnsi="Arial" w:cs="Arial"/>
          <w:szCs w:val="24"/>
        </w:rPr>
      </w:pPr>
    </w:p>
    <w:p w14:paraId="5D85E410" w14:textId="77777777" w:rsidR="000D5C6F" w:rsidRPr="00920CAD" w:rsidRDefault="005809E3" w:rsidP="000E3C03">
      <w:pPr>
        <w:numPr>
          <w:ilvl w:val="0"/>
          <w:numId w:val="18"/>
        </w:numPr>
        <w:tabs>
          <w:tab w:val="clear" w:pos="2340"/>
        </w:tabs>
        <w:ind w:left="1440"/>
        <w:jc w:val="both"/>
        <w:rPr>
          <w:rFonts w:ascii="Arial" w:hAnsi="Arial" w:cs="Arial"/>
          <w:szCs w:val="24"/>
        </w:rPr>
      </w:pPr>
      <w:r w:rsidRPr="00920CAD">
        <w:rPr>
          <w:rFonts w:ascii="Arial" w:hAnsi="Arial" w:cs="Arial"/>
          <w:szCs w:val="24"/>
        </w:rPr>
        <w:t>AGENCY</w:t>
      </w:r>
      <w:r w:rsidR="00480C1B" w:rsidRPr="00920CAD">
        <w:rPr>
          <w:rFonts w:ascii="Arial" w:hAnsi="Arial" w:cs="Arial"/>
          <w:szCs w:val="24"/>
        </w:rPr>
        <w:t xml:space="preserve"> </w:t>
      </w:r>
      <w:r w:rsidR="003838DD" w:rsidRPr="00920CAD">
        <w:rPr>
          <w:rFonts w:ascii="Arial" w:hAnsi="Arial" w:cs="Arial"/>
          <w:szCs w:val="24"/>
        </w:rPr>
        <w:t>O&amp;M</w:t>
      </w:r>
      <w:r w:rsidR="000260B8" w:rsidRPr="00920CAD">
        <w:rPr>
          <w:rFonts w:ascii="Arial" w:hAnsi="Arial" w:cs="Arial"/>
          <w:szCs w:val="24"/>
        </w:rPr>
        <w:t xml:space="preserve"> </w:t>
      </w:r>
      <w:r w:rsidR="000D5C6F" w:rsidRPr="00920CAD">
        <w:rPr>
          <w:rFonts w:ascii="Arial" w:hAnsi="Arial" w:cs="Arial"/>
          <w:szCs w:val="24"/>
        </w:rPr>
        <w:t>Charge</w:t>
      </w:r>
    </w:p>
    <w:p w14:paraId="748B2422" w14:textId="77777777" w:rsidR="00717877" w:rsidRPr="00920CAD" w:rsidRDefault="00717877" w:rsidP="00977B2D">
      <w:pPr>
        <w:ind w:left="1440"/>
        <w:jc w:val="both"/>
        <w:rPr>
          <w:rFonts w:ascii="Arial" w:hAnsi="Arial" w:cs="Arial"/>
          <w:caps/>
          <w:szCs w:val="24"/>
        </w:rPr>
      </w:pPr>
    </w:p>
    <w:p w14:paraId="18F622E4" w14:textId="1C055C3A" w:rsidR="000D5C6F" w:rsidRPr="00920CAD" w:rsidRDefault="00905DFB" w:rsidP="00977B2D">
      <w:pPr>
        <w:ind w:left="1440"/>
        <w:jc w:val="both"/>
        <w:rPr>
          <w:rFonts w:ascii="Arial" w:hAnsi="Arial" w:cs="Arial"/>
          <w:szCs w:val="24"/>
        </w:rPr>
      </w:pPr>
      <w:r w:rsidRPr="00920CAD">
        <w:rPr>
          <w:rFonts w:ascii="Arial" w:hAnsi="Arial" w:cs="Arial"/>
          <w:szCs w:val="24"/>
        </w:rPr>
        <w:t xml:space="preserve">The Agency’s </w:t>
      </w:r>
      <w:r w:rsidR="003838DD" w:rsidRPr="00920CAD">
        <w:rPr>
          <w:rFonts w:ascii="Arial" w:hAnsi="Arial" w:cs="Arial"/>
          <w:szCs w:val="24"/>
        </w:rPr>
        <w:t>O&amp;M</w:t>
      </w:r>
      <w:r w:rsidR="004D6DB1" w:rsidRPr="00920CAD">
        <w:rPr>
          <w:rFonts w:ascii="Arial" w:hAnsi="Arial" w:cs="Arial"/>
          <w:szCs w:val="24"/>
        </w:rPr>
        <w:t xml:space="preserve"> charge</w:t>
      </w:r>
      <w:r w:rsidR="00C211B1" w:rsidRPr="00920CAD">
        <w:rPr>
          <w:rFonts w:ascii="Arial" w:hAnsi="Arial" w:cs="Arial"/>
          <w:szCs w:val="24"/>
        </w:rPr>
        <w:t xml:space="preserve"> </w:t>
      </w:r>
      <w:r w:rsidR="00B37F98" w:rsidRPr="00920CAD">
        <w:rPr>
          <w:rFonts w:ascii="Arial" w:hAnsi="Arial" w:cs="Arial"/>
          <w:szCs w:val="24"/>
        </w:rPr>
        <w:t>shall be $</w:t>
      </w:r>
      <w:r w:rsidR="00170710" w:rsidRPr="00920CAD">
        <w:rPr>
          <w:rFonts w:ascii="Arial" w:hAnsi="Arial" w:cs="Arial"/>
          <w:szCs w:val="24"/>
        </w:rPr>
        <w:t>20</w:t>
      </w:r>
      <w:r w:rsidR="002B5557" w:rsidRPr="00920CAD">
        <w:rPr>
          <w:rFonts w:ascii="Arial" w:hAnsi="Arial" w:cs="Arial"/>
          <w:szCs w:val="24"/>
        </w:rPr>
        <w:t>.</w:t>
      </w:r>
      <w:r w:rsidR="00170710" w:rsidRPr="00920CAD">
        <w:rPr>
          <w:rFonts w:ascii="Arial" w:hAnsi="Arial" w:cs="Arial"/>
          <w:szCs w:val="24"/>
        </w:rPr>
        <w:t>25</w:t>
      </w:r>
      <w:r w:rsidR="00B37F98" w:rsidRPr="00920CAD">
        <w:rPr>
          <w:rFonts w:ascii="Arial" w:hAnsi="Arial" w:cs="Arial"/>
          <w:szCs w:val="24"/>
        </w:rPr>
        <w:t xml:space="preserve"> per </w:t>
      </w:r>
      <w:r w:rsidR="003838DD" w:rsidRPr="00920CAD">
        <w:rPr>
          <w:rFonts w:ascii="Arial" w:hAnsi="Arial" w:cs="Arial"/>
          <w:szCs w:val="24"/>
        </w:rPr>
        <w:t xml:space="preserve">NRWSCU </w:t>
      </w:r>
      <w:r w:rsidR="00B37F98" w:rsidRPr="00920CAD">
        <w:rPr>
          <w:rFonts w:ascii="Arial" w:hAnsi="Arial" w:cs="Arial"/>
          <w:szCs w:val="24"/>
        </w:rPr>
        <w:t>per month.</w:t>
      </w:r>
    </w:p>
    <w:p w14:paraId="35A54617" w14:textId="77777777" w:rsidR="000D5C6F" w:rsidRPr="00920CAD" w:rsidRDefault="000D5C6F" w:rsidP="00977B2D">
      <w:pPr>
        <w:ind w:left="1440"/>
        <w:jc w:val="both"/>
        <w:rPr>
          <w:rFonts w:ascii="Arial" w:hAnsi="Arial" w:cs="Arial"/>
          <w:szCs w:val="24"/>
        </w:rPr>
      </w:pPr>
    </w:p>
    <w:p w14:paraId="207EC237" w14:textId="77777777" w:rsidR="007B527F" w:rsidRPr="00920CAD" w:rsidRDefault="004D6DB1" w:rsidP="000E3C03">
      <w:pPr>
        <w:numPr>
          <w:ilvl w:val="0"/>
          <w:numId w:val="18"/>
        </w:numPr>
        <w:tabs>
          <w:tab w:val="clear" w:pos="2340"/>
        </w:tabs>
        <w:ind w:left="1440"/>
        <w:jc w:val="both"/>
        <w:rPr>
          <w:rFonts w:ascii="Arial" w:hAnsi="Arial" w:cs="Arial"/>
          <w:szCs w:val="24"/>
        </w:rPr>
      </w:pPr>
      <w:r w:rsidRPr="00920CAD">
        <w:rPr>
          <w:rFonts w:ascii="Arial" w:hAnsi="Arial" w:cs="Arial"/>
          <w:szCs w:val="24"/>
        </w:rPr>
        <w:t>AGENCY</w:t>
      </w:r>
      <w:r w:rsidR="00CB154A" w:rsidRPr="00920CAD">
        <w:rPr>
          <w:rFonts w:ascii="Arial" w:hAnsi="Arial" w:cs="Arial"/>
          <w:szCs w:val="24"/>
        </w:rPr>
        <w:t xml:space="preserve"> </w:t>
      </w:r>
      <w:r w:rsidRPr="00920CAD">
        <w:rPr>
          <w:rFonts w:ascii="Arial" w:hAnsi="Arial" w:cs="Arial"/>
          <w:szCs w:val="24"/>
        </w:rPr>
        <w:t>CIP CHARGE</w:t>
      </w:r>
    </w:p>
    <w:p w14:paraId="39ED7400" w14:textId="77777777" w:rsidR="007B527F" w:rsidRPr="00920CAD" w:rsidRDefault="007B527F" w:rsidP="00977B2D">
      <w:pPr>
        <w:pStyle w:val="ListParagraph"/>
        <w:ind w:left="1440"/>
        <w:jc w:val="both"/>
        <w:rPr>
          <w:rFonts w:ascii="Arial" w:hAnsi="Arial" w:cs="Arial"/>
          <w:szCs w:val="24"/>
        </w:rPr>
      </w:pPr>
    </w:p>
    <w:p w14:paraId="6587EA6E" w14:textId="0C80B188" w:rsidR="00117F5E" w:rsidRPr="00920CAD" w:rsidRDefault="00117F5E" w:rsidP="00977B2D">
      <w:pPr>
        <w:ind w:left="1440"/>
        <w:jc w:val="both"/>
        <w:rPr>
          <w:rFonts w:ascii="Arial" w:hAnsi="Arial" w:cs="Arial"/>
          <w:szCs w:val="24"/>
        </w:rPr>
      </w:pPr>
      <w:r w:rsidRPr="00920CAD">
        <w:rPr>
          <w:rFonts w:ascii="Arial" w:hAnsi="Arial" w:cs="Arial"/>
          <w:szCs w:val="24"/>
        </w:rPr>
        <w:t xml:space="preserve">The </w:t>
      </w:r>
      <w:r w:rsidR="004D6DB1" w:rsidRPr="00920CAD">
        <w:rPr>
          <w:rFonts w:ascii="Arial" w:hAnsi="Arial" w:cs="Arial"/>
          <w:szCs w:val="24"/>
        </w:rPr>
        <w:t xml:space="preserve">Agency’s </w:t>
      </w:r>
      <w:r w:rsidRPr="00920CAD">
        <w:rPr>
          <w:rFonts w:ascii="Arial" w:hAnsi="Arial" w:cs="Arial"/>
          <w:szCs w:val="24"/>
        </w:rPr>
        <w:t xml:space="preserve">capital </w:t>
      </w:r>
      <w:r w:rsidR="004D6DB1" w:rsidRPr="00920CAD">
        <w:rPr>
          <w:rFonts w:ascii="Arial" w:hAnsi="Arial" w:cs="Arial"/>
          <w:szCs w:val="24"/>
        </w:rPr>
        <w:t>improvement program charge</w:t>
      </w:r>
      <w:r w:rsidRPr="00920CAD">
        <w:rPr>
          <w:rFonts w:ascii="Arial" w:hAnsi="Arial" w:cs="Arial"/>
          <w:szCs w:val="24"/>
        </w:rPr>
        <w:t xml:space="preserve"> shall be $</w:t>
      </w:r>
      <w:r w:rsidR="00170710" w:rsidRPr="00920CAD">
        <w:rPr>
          <w:rFonts w:ascii="Arial" w:hAnsi="Arial" w:cs="Arial"/>
          <w:szCs w:val="24"/>
        </w:rPr>
        <w:t>8</w:t>
      </w:r>
      <w:r w:rsidR="00084960" w:rsidRPr="00920CAD">
        <w:rPr>
          <w:rFonts w:ascii="Arial" w:hAnsi="Arial" w:cs="Arial"/>
          <w:szCs w:val="24"/>
        </w:rPr>
        <w:t>.</w:t>
      </w:r>
      <w:r w:rsidR="00170710" w:rsidRPr="00920CAD">
        <w:rPr>
          <w:rFonts w:ascii="Arial" w:hAnsi="Arial" w:cs="Arial"/>
          <w:szCs w:val="24"/>
        </w:rPr>
        <w:t>0</w:t>
      </w:r>
      <w:r w:rsidR="004B152F" w:rsidRPr="00920CAD">
        <w:rPr>
          <w:rFonts w:ascii="Arial" w:hAnsi="Arial" w:cs="Arial"/>
          <w:szCs w:val="24"/>
        </w:rPr>
        <w:t>0</w:t>
      </w:r>
      <w:r w:rsidR="00E33E28" w:rsidRPr="00920CAD">
        <w:rPr>
          <w:rFonts w:ascii="Arial" w:hAnsi="Arial" w:cs="Arial"/>
          <w:szCs w:val="24"/>
        </w:rPr>
        <w:t xml:space="preserve"> p</w:t>
      </w:r>
      <w:r w:rsidRPr="00920CAD">
        <w:rPr>
          <w:rFonts w:ascii="Arial" w:hAnsi="Arial" w:cs="Arial"/>
          <w:szCs w:val="24"/>
        </w:rPr>
        <w:t>er</w:t>
      </w:r>
      <w:r w:rsidR="001E2D26" w:rsidRPr="00920CAD">
        <w:rPr>
          <w:rFonts w:ascii="Arial" w:hAnsi="Arial" w:cs="Arial"/>
          <w:szCs w:val="24"/>
        </w:rPr>
        <w:t xml:space="preserve"> </w:t>
      </w:r>
      <w:r w:rsidR="003838DD" w:rsidRPr="00920CAD">
        <w:rPr>
          <w:rFonts w:ascii="Arial" w:hAnsi="Arial" w:cs="Arial"/>
          <w:szCs w:val="24"/>
        </w:rPr>
        <w:t xml:space="preserve">NRWSCU </w:t>
      </w:r>
      <w:r w:rsidRPr="00920CAD">
        <w:rPr>
          <w:rFonts w:ascii="Arial" w:hAnsi="Arial" w:cs="Arial"/>
          <w:szCs w:val="24"/>
        </w:rPr>
        <w:t>per month</w:t>
      </w:r>
      <w:r w:rsidR="001E2D26" w:rsidRPr="00920CAD">
        <w:rPr>
          <w:rFonts w:ascii="Arial" w:hAnsi="Arial" w:cs="Arial"/>
          <w:szCs w:val="24"/>
        </w:rPr>
        <w:t>.</w:t>
      </w:r>
    </w:p>
    <w:p w14:paraId="2A397446" w14:textId="162698B0" w:rsidR="007B527F" w:rsidRPr="00920CAD" w:rsidRDefault="007B527F" w:rsidP="00977B2D">
      <w:pPr>
        <w:ind w:left="1440"/>
        <w:jc w:val="both"/>
        <w:rPr>
          <w:rFonts w:ascii="Arial" w:hAnsi="Arial" w:cs="Arial"/>
          <w:szCs w:val="24"/>
        </w:rPr>
      </w:pPr>
    </w:p>
    <w:p w14:paraId="792E73FF" w14:textId="77777777" w:rsidR="000D5C6F" w:rsidRPr="00920CAD" w:rsidRDefault="00D96974" w:rsidP="000E3C03">
      <w:pPr>
        <w:numPr>
          <w:ilvl w:val="0"/>
          <w:numId w:val="18"/>
        </w:numPr>
        <w:tabs>
          <w:tab w:val="clear" w:pos="2340"/>
        </w:tabs>
        <w:ind w:left="1440"/>
        <w:jc w:val="both"/>
        <w:rPr>
          <w:rFonts w:ascii="Arial" w:hAnsi="Arial" w:cs="Arial"/>
          <w:szCs w:val="24"/>
        </w:rPr>
      </w:pPr>
      <w:r w:rsidRPr="00920CAD">
        <w:rPr>
          <w:rFonts w:ascii="Arial" w:hAnsi="Arial" w:cs="Arial"/>
          <w:szCs w:val="24"/>
        </w:rPr>
        <w:t>RECYCLED WATER</w:t>
      </w:r>
      <w:r w:rsidR="00894EEA" w:rsidRPr="00920CAD">
        <w:rPr>
          <w:rFonts w:ascii="Arial" w:hAnsi="Arial" w:cs="Arial"/>
          <w:szCs w:val="24"/>
        </w:rPr>
        <w:t xml:space="preserve"> </w:t>
      </w:r>
      <w:r w:rsidR="00276504" w:rsidRPr="00920CAD">
        <w:rPr>
          <w:rFonts w:ascii="Arial" w:hAnsi="Arial" w:cs="Arial"/>
          <w:szCs w:val="24"/>
        </w:rPr>
        <w:t xml:space="preserve">USAGE </w:t>
      </w:r>
      <w:r w:rsidRPr="00920CAD">
        <w:rPr>
          <w:rFonts w:ascii="Arial" w:hAnsi="Arial" w:cs="Arial"/>
          <w:szCs w:val="24"/>
        </w:rPr>
        <w:t>CREDIT</w:t>
      </w:r>
    </w:p>
    <w:p w14:paraId="06250449" w14:textId="77777777" w:rsidR="007B527F" w:rsidRPr="00920CAD" w:rsidRDefault="007B527F" w:rsidP="00977B2D">
      <w:pPr>
        <w:ind w:left="1440"/>
        <w:jc w:val="both"/>
        <w:rPr>
          <w:rFonts w:ascii="Arial" w:hAnsi="Arial" w:cs="Arial"/>
          <w:szCs w:val="24"/>
        </w:rPr>
      </w:pPr>
    </w:p>
    <w:p w14:paraId="552227BB" w14:textId="77777777" w:rsidR="00D60854" w:rsidRPr="00920CAD" w:rsidRDefault="00D60854" w:rsidP="00D60854">
      <w:pPr>
        <w:ind w:left="1440"/>
        <w:jc w:val="both"/>
        <w:rPr>
          <w:rFonts w:ascii="Arial" w:hAnsi="Arial" w:cs="Arial"/>
          <w:szCs w:val="24"/>
        </w:rPr>
      </w:pPr>
      <w:r w:rsidRPr="00920CAD">
        <w:rPr>
          <w:rFonts w:ascii="Arial" w:hAnsi="Arial" w:cs="Arial"/>
          <w:szCs w:val="24"/>
        </w:rPr>
        <w:t xml:space="preserve">This program is for recycled water (RW) Users and shall end when funding is exhausted or not later than June 30, 2024, whichever comes first.  New Users who qualify for this program shall be given the recycled water credit in effect at the time of connection to the recycled water system.  </w:t>
      </w:r>
    </w:p>
    <w:p w14:paraId="1A5B0827" w14:textId="77777777" w:rsidR="00D60854" w:rsidRPr="00920CAD" w:rsidRDefault="00D60854" w:rsidP="00D60854">
      <w:pPr>
        <w:ind w:left="1440"/>
        <w:jc w:val="both"/>
        <w:rPr>
          <w:rFonts w:ascii="Arial" w:hAnsi="Arial" w:cs="Arial"/>
          <w:szCs w:val="24"/>
        </w:rPr>
      </w:pPr>
    </w:p>
    <w:p w14:paraId="31548421" w14:textId="77777777" w:rsidR="00D60854" w:rsidRPr="00920CAD" w:rsidRDefault="00D60854" w:rsidP="00D60854">
      <w:pPr>
        <w:ind w:left="1440"/>
        <w:jc w:val="both"/>
        <w:rPr>
          <w:rFonts w:ascii="Arial" w:hAnsi="Arial" w:cs="Arial"/>
          <w:szCs w:val="24"/>
        </w:rPr>
      </w:pPr>
      <w:r w:rsidRPr="00920CAD">
        <w:rPr>
          <w:rFonts w:ascii="Arial" w:hAnsi="Arial" w:cs="Arial"/>
          <w:szCs w:val="24"/>
        </w:rPr>
        <w:t>Recycled Water Users, including contracting agencies, shall be given a monetary credit based on the actual amount of RW used. The RW credit shall start at 50% of the IEUA’s FY 2014/15 recycled water direct sale rate, and shall decline at 5% intervals per year through FY 2023/2024.</w:t>
      </w:r>
    </w:p>
    <w:p w14:paraId="125DB62A" w14:textId="77777777" w:rsidR="00D60854" w:rsidRPr="00920CAD" w:rsidRDefault="00D60854" w:rsidP="00D60854">
      <w:pPr>
        <w:ind w:left="1440"/>
        <w:jc w:val="both"/>
        <w:rPr>
          <w:rFonts w:ascii="Arial" w:hAnsi="Arial" w:cs="Arial"/>
          <w:szCs w:val="24"/>
        </w:rPr>
      </w:pPr>
    </w:p>
    <w:p w14:paraId="30222A5F" w14:textId="1EFE00BD" w:rsidR="00525944" w:rsidRPr="00920CAD" w:rsidRDefault="00D60854" w:rsidP="00D60854">
      <w:pPr>
        <w:ind w:left="1440"/>
        <w:jc w:val="both"/>
        <w:rPr>
          <w:rFonts w:ascii="Arial" w:hAnsi="Arial" w:cs="Arial"/>
          <w:szCs w:val="24"/>
        </w:rPr>
      </w:pPr>
      <w:r w:rsidRPr="00920CAD">
        <w:rPr>
          <w:rFonts w:ascii="Arial" w:hAnsi="Arial" w:cs="Arial"/>
          <w:szCs w:val="24"/>
        </w:rPr>
        <w:t>For Fiscal Year 201</w:t>
      </w:r>
      <w:r w:rsidR="00170710" w:rsidRPr="00920CAD">
        <w:rPr>
          <w:rFonts w:ascii="Arial" w:hAnsi="Arial" w:cs="Arial"/>
          <w:szCs w:val="24"/>
        </w:rPr>
        <w:t>9</w:t>
      </w:r>
      <w:r w:rsidRPr="00920CAD">
        <w:rPr>
          <w:rFonts w:ascii="Arial" w:hAnsi="Arial" w:cs="Arial"/>
          <w:szCs w:val="24"/>
        </w:rPr>
        <w:t>/</w:t>
      </w:r>
      <w:r w:rsidR="00170710" w:rsidRPr="00920CAD">
        <w:rPr>
          <w:rFonts w:ascii="Arial" w:hAnsi="Arial" w:cs="Arial"/>
          <w:szCs w:val="24"/>
        </w:rPr>
        <w:t>20</w:t>
      </w:r>
      <w:r w:rsidRPr="00920CAD">
        <w:rPr>
          <w:rFonts w:ascii="Arial" w:hAnsi="Arial" w:cs="Arial"/>
          <w:szCs w:val="24"/>
        </w:rPr>
        <w:t xml:space="preserve">, the Recycled Water Usage Credit is </w:t>
      </w:r>
      <w:r w:rsidR="002B5557" w:rsidRPr="00920CAD">
        <w:rPr>
          <w:rFonts w:ascii="Arial" w:hAnsi="Arial" w:cs="Arial"/>
          <w:szCs w:val="24"/>
        </w:rPr>
        <w:t>$2</w:t>
      </w:r>
      <w:r w:rsidR="00170710" w:rsidRPr="00920CAD">
        <w:rPr>
          <w:rFonts w:ascii="Arial" w:hAnsi="Arial" w:cs="Arial"/>
          <w:szCs w:val="24"/>
        </w:rPr>
        <w:t>22</w:t>
      </w:r>
      <w:r w:rsidR="002B5557" w:rsidRPr="00920CAD">
        <w:rPr>
          <w:rFonts w:ascii="Arial" w:hAnsi="Arial" w:cs="Arial"/>
          <w:szCs w:val="24"/>
        </w:rPr>
        <w:t>.</w:t>
      </w:r>
      <w:r w:rsidR="00170710" w:rsidRPr="00920CAD">
        <w:rPr>
          <w:rFonts w:ascii="Arial" w:hAnsi="Arial" w:cs="Arial"/>
          <w:szCs w:val="24"/>
        </w:rPr>
        <w:t>51</w:t>
      </w:r>
      <w:r w:rsidR="002B5557" w:rsidRPr="00920CAD">
        <w:rPr>
          <w:rFonts w:ascii="Arial" w:hAnsi="Arial" w:cs="Arial"/>
          <w:szCs w:val="24"/>
        </w:rPr>
        <w:t xml:space="preserve"> </w:t>
      </w:r>
      <w:r w:rsidRPr="00920CAD">
        <w:rPr>
          <w:rFonts w:ascii="Arial" w:hAnsi="Arial" w:cs="Arial"/>
          <w:szCs w:val="24"/>
        </w:rPr>
        <w:t>per million gallons of recycled water used.</w:t>
      </w:r>
    </w:p>
    <w:p w14:paraId="5AB566D4" w14:textId="77777777" w:rsidR="00767189" w:rsidRPr="00920CAD" w:rsidRDefault="00767189" w:rsidP="00977B2D">
      <w:pPr>
        <w:ind w:left="810"/>
        <w:jc w:val="both"/>
        <w:rPr>
          <w:rFonts w:ascii="Arial" w:hAnsi="Arial" w:cs="Arial"/>
          <w:b/>
          <w:szCs w:val="24"/>
          <w:u w:val="single"/>
        </w:rPr>
      </w:pPr>
    </w:p>
    <w:p w14:paraId="5A9787F3" w14:textId="724936F7" w:rsidR="00767189" w:rsidRPr="00920CAD" w:rsidRDefault="00B620F3" w:rsidP="00977B2D">
      <w:pPr>
        <w:ind w:left="810"/>
        <w:jc w:val="both"/>
        <w:rPr>
          <w:rFonts w:ascii="Arial" w:hAnsi="Arial" w:cs="Arial"/>
          <w:b/>
          <w:szCs w:val="24"/>
          <w:u w:val="single"/>
        </w:rPr>
      </w:pPr>
      <w:r w:rsidRPr="00920CAD">
        <w:rPr>
          <w:rFonts w:ascii="Arial" w:hAnsi="Arial" w:cs="Arial"/>
          <w:b/>
          <w:szCs w:val="24"/>
          <w:u w:val="single"/>
        </w:rPr>
        <w:t>Section 3</w:t>
      </w:r>
      <w:r w:rsidRPr="00920CAD">
        <w:rPr>
          <w:rFonts w:ascii="Arial" w:hAnsi="Arial" w:cs="Arial"/>
          <w:szCs w:val="24"/>
        </w:rPr>
        <w:tab/>
      </w:r>
      <w:r w:rsidR="005C26D0" w:rsidRPr="00920CAD">
        <w:rPr>
          <w:rFonts w:ascii="Arial" w:hAnsi="Arial" w:cs="Arial"/>
          <w:szCs w:val="24"/>
        </w:rPr>
        <w:t>IMBALANCE CHARGES</w:t>
      </w:r>
    </w:p>
    <w:p w14:paraId="0878D81F" w14:textId="258ABECF" w:rsidR="00767189" w:rsidRPr="00920CAD" w:rsidRDefault="00767189" w:rsidP="00977B2D">
      <w:pPr>
        <w:ind w:left="810"/>
        <w:jc w:val="both"/>
        <w:rPr>
          <w:rFonts w:ascii="Arial" w:hAnsi="Arial" w:cs="Arial"/>
          <w:b/>
          <w:szCs w:val="24"/>
          <w:u w:val="single"/>
        </w:rPr>
      </w:pPr>
    </w:p>
    <w:p w14:paraId="4C7B584C" w14:textId="50F92133" w:rsidR="009E6932" w:rsidRPr="00920CAD" w:rsidRDefault="00A21AD9" w:rsidP="00E46D87">
      <w:pPr>
        <w:pStyle w:val="ListParagraph"/>
        <w:numPr>
          <w:ilvl w:val="0"/>
          <w:numId w:val="32"/>
        </w:numPr>
        <w:tabs>
          <w:tab w:val="clear" w:pos="2340"/>
        </w:tabs>
        <w:ind w:left="1440" w:hanging="630"/>
        <w:jc w:val="both"/>
        <w:rPr>
          <w:rFonts w:ascii="Arial" w:hAnsi="Arial" w:cs="Arial"/>
          <w:szCs w:val="24"/>
        </w:rPr>
      </w:pPr>
      <w:r w:rsidRPr="00920CAD">
        <w:rPr>
          <w:rFonts w:ascii="Arial" w:hAnsi="Arial" w:cs="Arial"/>
          <w:szCs w:val="24"/>
        </w:rPr>
        <w:t>SOLIDS</w:t>
      </w:r>
      <w:r w:rsidR="009E6932" w:rsidRPr="00920CAD">
        <w:rPr>
          <w:rFonts w:ascii="Arial" w:hAnsi="Arial" w:cs="Arial"/>
          <w:szCs w:val="24"/>
        </w:rPr>
        <w:t xml:space="preserve"> DISCREPANCY C</w:t>
      </w:r>
      <w:r w:rsidRPr="00920CAD">
        <w:rPr>
          <w:rFonts w:ascii="Arial" w:hAnsi="Arial" w:cs="Arial"/>
          <w:szCs w:val="24"/>
        </w:rPr>
        <w:t>HARGES</w:t>
      </w:r>
      <w:r w:rsidR="009E6932" w:rsidRPr="00920CAD">
        <w:rPr>
          <w:rFonts w:ascii="Arial" w:hAnsi="Arial" w:cs="Arial"/>
          <w:szCs w:val="24"/>
        </w:rPr>
        <w:t xml:space="preserve"> for NRWS</w:t>
      </w:r>
    </w:p>
    <w:p w14:paraId="32F73214" w14:textId="77777777" w:rsidR="009E6932" w:rsidRPr="00920CAD" w:rsidRDefault="009E6932" w:rsidP="009E6932">
      <w:pPr>
        <w:ind w:left="1440"/>
        <w:jc w:val="both"/>
        <w:rPr>
          <w:rFonts w:ascii="Arial" w:hAnsi="Arial" w:cs="Arial"/>
          <w:caps/>
          <w:szCs w:val="24"/>
        </w:rPr>
      </w:pPr>
    </w:p>
    <w:p w14:paraId="5048F445" w14:textId="77777777" w:rsidR="009E6932" w:rsidRPr="00920CAD" w:rsidRDefault="009E6932" w:rsidP="009E6932">
      <w:pPr>
        <w:ind w:left="1440"/>
        <w:jc w:val="both"/>
        <w:rPr>
          <w:rFonts w:ascii="Arial" w:hAnsi="Arial" w:cs="Arial"/>
          <w:szCs w:val="24"/>
        </w:rPr>
      </w:pPr>
      <w:r w:rsidRPr="00920CAD">
        <w:rPr>
          <w:rFonts w:ascii="Arial" w:hAnsi="Arial" w:cs="Arial"/>
          <w:szCs w:val="24"/>
        </w:rPr>
        <w:t>Solids Discrepancy Charge for an industry (</w:t>
      </w:r>
      <w:r w:rsidRPr="00920CAD">
        <w:rPr>
          <w:rFonts w:ascii="Arial" w:hAnsi="Arial" w:cs="Arial"/>
          <w:i/>
          <w:szCs w:val="24"/>
        </w:rPr>
        <w:t>SDC</w:t>
      </w:r>
      <w:r w:rsidRPr="00920CAD">
        <w:rPr>
          <w:rFonts w:ascii="Arial" w:hAnsi="Arial" w:cs="Arial"/>
          <w:i/>
          <w:szCs w:val="24"/>
          <w:vertAlign w:val="subscript"/>
        </w:rPr>
        <w:t xml:space="preserve">i </w:t>
      </w:r>
      <w:r w:rsidRPr="00920CAD">
        <w:rPr>
          <w:rFonts w:ascii="Arial" w:hAnsi="Arial" w:cs="Arial"/>
          <w:szCs w:val="24"/>
        </w:rPr>
        <w:t xml:space="preserve">) shall be calculated on a monthly basis and invoiced on a quarterly basis.  The charge shall be calculated by multiplying the individual industry’s </w:t>
      </w:r>
      <w:r w:rsidRPr="00920CAD">
        <w:rPr>
          <w:rFonts w:ascii="Arial" w:hAnsi="Arial" w:cs="Arial"/>
          <w:i/>
          <w:szCs w:val="24"/>
        </w:rPr>
        <w:t>Fractional Solids Discrepancy</w:t>
      </w:r>
      <w:r w:rsidRPr="00920CAD">
        <w:rPr>
          <w:rFonts w:ascii="Arial" w:hAnsi="Arial" w:cs="Arial"/>
          <w:szCs w:val="24"/>
        </w:rPr>
        <w:t xml:space="preserve"> (</w:t>
      </w:r>
      <w:r w:rsidRPr="00920CAD">
        <w:rPr>
          <w:rFonts w:ascii="Arial" w:hAnsi="Arial" w:cs="Arial"/>
          <w:i/>
          <w:szCs w:val="24"/>
        </w:rPr>
        <w:t>FSD</w:t>
      </w:r>
      <w:r w:rsidRPr="00920CAD">
        <w:rPr>
          <w:rFonts w:ascii="Arial" w:hAnsi="Arial" w:cs="Arial"/>
          <w:i/>
          <w:szCs w:val="24"/>
          <w:vertAlign w:val="subscript"/>
        </w:rPr>
        <w:t>i</w:t>
      </w:r>
      <w:r w:rsidRPr="00920CAD">
        <w:rPr>
          <w:rFonts w:ascii="Arial" w:hAnsi="Arial" w:cs="Arial"/>
          <w:szCs w:val="24"/>
        </w:rPr>
        <w:t>) by the Total Solids Discrepancy at East End monitoring facility (</w:t>
      </w:r>
      <w:r w:rsidRPr="00920CAD">
        <w:rPr>
          <w:rFonts w:ascii="Arial" w:hAnsi="Arial" w:cs="Arial"/>
          <w:i/>
          <w:szCs w:val="24"/>
        </w:rPr>
        <w:t>TSD</w:t>
      </w:r>
      <w:r w:rsidRPr="00920CAD">
        <w:rPr>
          <w:rFonts w:ascii="Arial" w:hAnsi="Arial" w:cs="Arial"/>
          <w:i/>
          <w:szCs w:val="24"/>
          <w:vertAlign w:val="subscript"/>
        </w:rPr>
        <w:t>EE</w:t>
      </w:r>
      <w:r w:rsidRPr="00920CAD">
        <w:rPr>
          <w:rFonts w:ascii="Arial" w:hAnsi="Arial" w:cs="Arial"/>
          <w:szCs w:val="24"/>
        </w:rPr>
        <w:t>) and by TSS</w:t>
      </w:r>
      <w:r w:rsidRPr="00920CAD">
        <w:rPr>
          <w:rFonts w:ascii="Arial" w:hAnsi="Arial" w:cs="Arial"/>
          <w:i/>
          <w:szCs w:val="24"/>
        </w:rPr>
        <w:t xml:space="preserve"> </w:t>
      </w:r>
      <w:r w:rsidRPr="00920CAD">
        <w:rPr>
          <w:rFonts w:ascii="Arial" w:hAnsi="Arial" w:cs="Arial"/>
          <w:szCs w:val="24"/>
        </w:rPr>
        <w:t>rate:</w:t>
      </w:r>
    </w:p>
    <w:p w14:paraId="19CFCE17" w14:textId="77777777" w:rsidR="009E6932" w:rsidRPr="00920CAD" w:rsidRDefault="009E6932" w:rsidP="009E6932">
      <w:pPr>
        <w:ind w:left="1440"/>
        <w:jc w:val="both"/>
        <w:rPr>
          <w:rFonts w:ascii="Arial" w:hAnsi="Arial" w:cs="Arial"/>
          <w:szCs w:val="24"/>
        </w:rPr>
      </w:pPr>
    </w:p>
    <w:p w14:paraId="542205B9" w14:textId="77777777" w:rsidR="009E6932" w:rsidRPr="00920CAD" w:rsidRDefault="00B553F0" w:rsidP="009E6932">
      <w:pPr>
        <w:ind w:left="1440"/>
        <w:jc w:val="both"/>
        <w:rPr>
          <w:rFonts w:ascii="Arial" w:hAnsi="Arial" w:cs="Arial"/>
          <w:szCs w:val="24"/>
        </w:rPr>
      </w:pPr>
      <m:oMathPara>
        <m:oMath>
          <m:sSub>
            <m:sSubPr>
              <m:ctrlPr>
                <w:rPr>
                  <w:rFonts w:ascii="Cambria Math" w:hAnsi="Cambria Math" w:cs="Arial"/>
                  <w:i/>
                  <w:szCs w:val="24"/>
                </w:rPr>
              </m:ctrlPr>
            </m:sSubPr>
            <m:e>
              <m:r>
                <w:rPr>
                  <w:rFonts w:ascii="Cambria Math" w:hAnsi="Cambria Math" w:cs="Arial"/>
                  <w:szCs w:val="24"/>
                </w:rPr>
                <m:t>SDC</m:t>
              </m:r>
            </m:e>
            <m:sub>
              <m:r>
                <w:rPr>
                  <w:rFonts w:ascii="Cambria Math" w:hAnsi="Cambria Math" w:cs="Arial"/>
                  <w:szCs w:val="24"/>
                </w:rPr>
                <m:t>i</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FSD</m:t>
              </m:r>
            </m:e>
            <m:sub>
              <m:r>
                <w:rPr>
                  <w:rFonts w:ascii="Cambria Math" w:hAnsi="Cambria Math" w:cs="Arial"/>
                  <w:szCs w:val="24"/>
                </w:rPr>
                <m:t>i</m:t>
              </m:r>
            </m:sub>
          </m:sSub>
          <m:r>
            <w:rPr>
              <w:rFonts w:ascii="Cambria Math" w:hAnsi="Cambria Math" w:cs="Arial"/>
              <w:szCs w:val="24"/>
            </w:rPr>
            <m:t>)  x  (</m:t>
          </m:r>
          <m:sSub>
            <m:sSubPr>
              <m:ctrlPr>
                <w:rPr>
                  <w:rFonts w:ascii="Cambria Math" w:hAnsi="Cambria Math" w:cs="Arial"/>
                  <w:i/>
                  <w:szCs w:val="24"/>
                </w:rPr>
              </m:ctrlPr>
            </m:sSubPr>
            <m:e>
              <m:r>
                <w:rPr>
                  <w:rFonts w:ascii="Cambria Math" w:hAnsi="Cambria Math" w:cs="Arial"/>
                  <w:szCs w:val="24"/>
                </w:rPr>
                <m:t>TSD</m:t>
              </m:r>
            </m:e>
            <m:sub>
              <m:r>
                <w:rPr>
                  <w:rFonts w:ascii="Cambria Math" w:hAnsi="Cambria Math" w:cs="Arial"/>
                  <w:szCs w:val="24"/>
                </w:rPr>
                <m:t>EE</m:t>
              </m:r>
            </m:sub>
          </m:sSub>
          <m:r>
            <w:rPr>
              <w:rFonts w:ascii="Cambria Math" w:hAnsi="Cambria Math" w:cs="Arial"/>
              <w:szCs w:val="24"/>
            </w:rPr>
            <m:t>) x (TSS rate)</m:t>
          </m:r>
        </m:oMath>
      </m:oMathPara>
    </w:p>
    <w:p w14:paraId="38425AFB" w14:textId="77777777" w:rsidR="009E6932" w:rsidRPr="00920CAD" w:rsidRDefault="009E6932" w:rsidP="009E6932">
      <w:pPr>
        <w:ind w:left="1440"/>
        <w:jc w:val="both"/>
        <w:rPr>
          <w:rFonts w:ascii="Arial" w:hAnsi="Arial" w:cs="Arial"/>
          <w:szCs w:val="24"/>
        </w:rPr>
      </w:pPr>
    </w:p>
    <w:p w14:paraId="64A921AD" w14:textId="77777777" w:rsidR="009E6932" w:rsidRPr="00920CAD" w:rsidRDefault="009E6932" w:rsidP="009E6932">
      <w:pPr>
        <w:ind w:left="1440"/>
        <w:jc w:val="both"/>
        <w:rPr>
          <w:rFonts w:ascii="Arial" w:hAnsi="Arial" w:cs="Arial"/>
          <w:szCs w:val="24"/>
        </w:rPr>
      </w:pPr>
      <w:r w:rsidRPr="00920CAD">
        <w:rPr>
          <w:rFonts w:ascii="Arial" w:hAnsi="Arial" w:cs="Arial"/>
          <w:szCs w:val="24"/>
        </w:rPr>
        <w:t xml:space="preserve">Individual industry’s </w:t>
      </w:r>
      <w:r w:rsidRPr="00920CAD">
        <w:rPr>
          <w:rFonts w:ascii="Arial" w:hAnsi="Arial" w:cs="Arial"/>
          <w:i/>
          <w:szCs w:val="24"/>
        </w:rPr>
        <w:t>FSD</w:t>
      </w:r>
      <w:r w:rsidRPr="00920CAD">
        <w:rPr>
          <w:rFonts w:ascii="Arial" w:hAnsi="Arial" w:cs="Arial"/>
          <w:i/>
          <w:szCs w:val="24"/>
          <w:vertAlign w:val="subscript"/>
        </w:rPr>
        <w:t>i</w:t>
      </w:r>
      <w:r w:rsidRPr="00920CAD">
        <w:rPr>
          <w:rFonts w:ascii="Arial" w:hAnsi="Arial" w:cs="Arial"/>
          <w:szCs w:val="24"/>
        </w:rPr>
        <w:t xml:space="preserve"> for the NRWS is determined by the </w:t>
      </w:r>
      <w:r w:rsidRPr="00920CAD">
        <w:rPr>
          <w:rFonts w:ascii="Arial" w:hAnsi="Arial" w:cs="Arial"/>
          <w:i/>
          <w:szCs w:val="24"/>
        </w:rPr>
        <w:t>FSD</w:t>
      </w:r>
      <w:r w:rsidRPr="00920CAD">
        <w:rPr>
          <w:rFonts w:ascii="Arial" w:hAnsi="Arial" w:cs="Arial"/>
          <w:i/>
          <w:szCs w:val="24"/>
          <w:vertAlign w:val="subscript"/>
        </w:rPr>
        <w:t>i</w:t>
      </w:r>
      <w:r w:rsidRPr="00920CAD">
        <w:rPr>
          <w:rFonts w:ascii="Arial" w:hAnsi="Arial" w:cs="Arial"/>
          <w:szCs w:val="24"/>
        </w:rPr>
        <w:t xml:space="preserve"> formula to allocate the individual industry’s solids contribution to the total solids discrepancy, based on their contribution to the overall loading of Alkalinity, Biological Oxygen Demand (BOD), Dissolved Calcium, and Flow. </w:t>
      </w:r>
    </w:p>
    <w:p w14:paraId="4474A74D" w14:textId="64219908" w:rsidR="009E6932" w:rsidRPr="00920CAD" w:rsidRDefault="00B553F0" w:rsidP="009E6932">
      <w:pPr>
        <w:pStyle w:val="BodyTextLADWP"/>
        <w:spacing w:after="0"/>
        <w:ind w:left="1440" w:right="-360"/>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rPr>
                <m:t>FSD</m:t>
              </m:r>
            </m:e>
            <m:sub>
              <m:r>
                <w:rPr>
                  <w:rFonts w:ascii="Cambria Math" w:hAnsi="Cambria Math" w:cs="Arial"/>
                  <w:sz w:val="24"/>
                </w:rPr>
                <m:t>i</m:t>
              </m:r>
            </m:sub>
          </m:sSub>
          <m:r>
            <w:rPr>
              <w:rFonts w:ascii="Cambria Math" w:hAnsi="Cambria Math" w:cs="Arial"/>
              <w:sz w:val="24"/>
            </w:rPr>
            <m:t>=0.061 x</m:t>
          </m:r>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rPr>
                        <m:t>Alk</m:t>
                      </m:r>
                    </m:e>
                    <m:sub>
                      <m:r>
                        <w:rPr>
                          <w:rFonts w:ascii="Cambria Math" w:hAnsi="Cambria Math" w:cs="Arial"/>
                          <w:sz w:val="24"/>
                        </w:rPr>
                        <m:t>i</m:t>
                      </m:r>
                    </m:sub>
                  </m:sSub>
                </m:num>
                <m:den>
                  <m:sSub>
                    <m:sSubPr>
                      <m:ctrlPr>
                        <w:rPr>
                          <w:rFonts w:ascii="Cambria Math" w:hAnsi="Cambria Math" w:cs="Arial"/>
                          <w:i/>
                          <w:sz w:val="24"/>
                          <w:szCs w:val="24"/>
                        </w:rPr>
                      </m:ctrlPr>
                    </m:sSubPr>
                    <m:e>
                      <m:r>
                        <w:rPr>
                          <w:rFonts w:ascii="Cambria Math" w:hAnsi="Cambria Math" w:cs="Arial"/>
                          <w:sz w:val="24"/>
                        </w:rPr>
                        <m:t>Alk</m:t>
                      </m:r>
                    </m:e>
                    <m:sub>
                      <m:r>
                        <w:rPr>
                          <w:rFonts w:ascii="Cambria Math" w:hAnsi="Cambria Math" w:cs="Arial"/>
                          <w:sz w:val="24"/>
                        </w:rPr>
                        <m:t>T</m:t>
                      </m:r>
                    </m:sub>
                  </m:sSub>
                </m:den>
              </m:f>
            </m:e>
          </m:d>
          <m:r>
            <w:rPr>
              <w:rFonts w:ascii="Cambria Math" w:hAnsi="Cambria Math" w:cs="Arial"/>
              <w:sz w:val="24"/>
            </w:rPr>
            <m:t>+0.543 x</m:t>
          </m:r>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rPr>
                        <m:t>BOD</m:t>
                      </m:r>
                    </m:e>
                    <m:sub>
                      <m:r>
                        <w:rPr>
                          <w:rFonts w:ascii="Cambria Math" w:hAnsi="Cambria Math" w:cs="Arial"/>
                          <w:sz w:val="24"/>
                        </w:rPr>
                        <m:t>i</m:t>
                      </m:r>
                    </m:sub>
                  </m:sSub>
                </m:num>
                <m:den>
                  <m:sSub>
                    <m:sSubPr>
                      <m:ctrlPr>
                        <w:rPr>
                          <w:rFonts w:ascii="Cambria Math" w:hAnsi="Cambria Math" w:cs="Arial"/>
                          <w:i/>
                          <w:sz w:val="24"/>
                          <w:szCs w:val="24"/>
                        </w:rPr>
                      </m:ctrlPr>
                    </m:sSubPr>
                    <m:e>
                      <m:r>
                        <w:rPr>
                          <w:rFonts w:ascii="Cambria Math" w:hAnsi="Cambria Math" w:cs="Arial"/>
                          <w:sz w:val="24"/>
                        </w:rPr>
                        <m:t>BOD</m:t>
                      </m:r>
                    </m:e>
                    <m:sub>
                      <m:r>
                        <w:rPr>
                          <w:rFonts w:ascii="Cambria Math" w:hAnsi="Cambria Math" w:cs="Arial"/>
                          <w:sz w:val="24"/>
                        </w:rPr>
                        <m:t>T</m:t>
                      </m:r>
                    </m:sub>
                  </m:sSub>
                </m:den>
              </m:f>
            </m:e>
          </m:d>
          <m:r>
            <w:rPr>
              <w:rFonts w:ascii="Cambria Math" w:hAnsi="Cambria Math" w:cs="Arial"/>
              <w:sz w:val="24"/>
            </w:rPr>
            <m:t>+0.040 x</m:t>
          </m:r>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rPr>
                        <m:t>Ca</m:t>
                      </m:r>
                    </m:e>
                    <m:sub>
                      <m:r>
                        <w:rPr>
                          <w:rFonts w:ascii="Cambria Math" w:hAnsi="Cambria Math" w:cs="Arial"/>
                          <w:sz w:val="24"/>
                        </w:rPr>
                        <m:t>i</m:t>
                      </m:r>
                    </m:sub>
                  </m:sSub>
                </m:num>
                <m:den>
                  <m:sSub>
                    <m:sSubPr>
                      <m:ctrlPr>
                        <w:rPr>
                          <w:rFonts w:ascii="Cambria Math" w:hAnsi="Cambria Math" w:cs="Arial"/>
                          <w:i/>
                          <w:sz w:val="24"/>
                          <w:szCs w:val="24"/>
                        </w:rPr>
                      </m:ctrlPr>
                    </m:sSubPr>
                    <m:e>
                      <m:r>
                        <w:rPr>
                          <w:rFonts w:ascii="Cambria Math" w:hAnsi="Cambria Math" w:cs="Arial"/>
                          <w:sz w:val="24"/>
                        </w:rPr>
                        <m:t>Ca</m:t>
                      </m:r>
                    </m:e>
                    <m:sub>
                      <m:r>
                        <w:rPr>
                          <w:rFonts w:ascii="Cambria Math" w:hAnsi="Cambria Math" w:cs="Arial"/>
                          <w:sz w:val="24"/>
                        </w:rPr>
                        <m:t>T</m:t>
                      </m:r>
                    </m:sub>
                  </m:sSub>
                </m:den>
              </m:f>
            </m:e>
          </m:d>
          <m:r>
            <w:rPr>
              <w:rFonts w:ascii="Cambria Math" w:hAnsi="Cambria Math" w:cs="Arial"/>
              <w:sz w:val="24"/>
            </w:rPr>
            <m:t>+0.356 x</m:t>
          </m:r>
          <m:d>
            <m:dPr>
              <m:begChr m:val="["/>
              <m:endChr m:val="]"/>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rPr>
                        <m:t>Flow</m:t>
                      </m:r>
                    </m:e>
                    <m:sub>
                      <m:r>
                        <w:rPr>
                          <w:rFonts w:ascii="Cambria Math" w:hAnsi="Cambria Math" w:cs="Arial"/>
                          <w:sz w:val="24"/>
                        </w:rPr>
                        <m:t>i</m:t>
                      </m:r>
                    </m:sub>
                  </m:sSub>
                </m:num>
                <m:den>
                  <m:sSub>
                    <m:sSubPr>
                      <m:ctrlPr>
                        <w:rPr>
                          <w:rFonts w:ascii="Cambria Math" w:hAnsi="Cambria Math" w:cs="Arial"/>
                          <w:i/>
                          <w:sz w:val="24"/>
                          <w:szCs w:val="24"/>
                        </w:rPr>
                      </m:ctrlPr>
                    </m:sSubPr>
                    <m:e>
                      <m:r>
                        <w:rPr>
                          <w:rFonts w:ascii="Cambria Math" w:hAnsi="Cambria Math" w:cs="Arial"/>
                          <w:sz w:val="24"/>
                        </w:rPr>
                        <m:t>Flow</m:t>
                      </m:r>
                    </m:e>
                    <m:sub>
                      <m:r>
                        <w:rPr>
                          <w:rFonts w:ascii="Cambria Math" w:hAnsi="Cambria Math" w:cs="Arial"/>
                          <w:sz w:val="24"/>
                        </w:rPr>
                        <m:t>T</m:t>
                      </m:r>
                    </m:sub>
                  </m:sSub>
                </m:den>
              </m:f>
            </m:e>
          </m:d>
        </m:oMath>
      </m:oMathPara>
    </w:p>
    <w:p w14:paraId="4A4304D9" w14:textId="77777777" w:rsidR="009E6932" w:rsidRPr="00920CAD" w:rsidRDefault="009E6932" w:rsidP="009E6932">
      <w:pPr>
        <w:pStyle w:val="BodyTextLADWP"/>
        <w:spacing w:after="0"/>
        <w:ind w:left="1440"/>
        <w:rPr>
          <w:rFonts w:ascii="Arial" w:hAnsi="Arial" w:cs="Arial"/>
          <w:sz w:val="24"/>
          <w:szCs w:val="24"/>
        </w:rPr>
      </w:pPr>
    </w:p>
    <w:p w14:paraId="081DC470" w14:textId="77777777" w:rsidR="009E6932" w:rsidRPr="00920CAD" w:rsidRDefault="009E6932" w:rsidP="009E6932">
      <w:pPr>
        <w:pStyle w:val="BodyTextLADWP"/>
        <w:spacing w:after="0"/>
        <w:ind w:left="1440"/>
        <w:rPr>
          <w:rFonts w:ascii="Arial" w:hAnsi="Arial" w:cs="Arial"/>
        </w:rPr>
      </w:pPr>
      <w:r w:rsidRPr="00920CAD">
        <w:rPr>
          <w:rFonts w:ascii="Arial" w:hAnsi="Arial" w:cs="Arial"/>
          <w:b/>
          <w:i/>
        </w:rPr>
        <w:t>Where</w:t>
      </w:r>
      <w:r w:rsidRPr="00920CAD">
        <w:rPr>
          <w:rFonts w:ascii="Arial" w:hAnsi="Arial" w:cs="Arial"/>
        </w:rPr>
        <w:t>:</w:t>
      </w:r>
    </w:p>
    <w:p w14:paraId="7905BABA" w14:textId="77777777" w:rsidR="009E6932" w:rsidRPr="00920CAD" w:rsidRDefault="009E6932" w:rsidP="009E6932">
      <w:pPr>
        <w:pStyle w:val="BodyTextLADWP"/>
        <w:spacing w:after="0"/>
        <w:ind w:left="1440"/>
        <w:rPr>
          <w:rFonts w:ascii="Arial" w:hAnsi="Arial" w:cs="Arial"/>
          <w:i/>
        </w:rPr>
      </w:pPr>
      <w:r w:rsidRPr="00920CAD">
        <w:rPr>
          <w:rFonts w:ascii="Arial" w:hAnsi="Arial" w:cs="Arial"/>
          <w:i/>
        </w:rPr>
        <w:t>FSD</w:t>
      </w:r>
      <w:r w:rsidRPr="00920CAD">
        <w:rPr>
          <w:rFonts w:ascii="Arial" w:hAnsi="Arial" w:cs="Arial"/>
          <w:i/>
          <w:vertAlign w:val="subscript"/>
        </w:rPr>
        <w:t>i</w:t>
      </w:r>
      <w:r w:rsidRPr="00920CAD">
        <w:rPr>
          <w:rFonts w:ascii="Arial" w:hAnsi="Arial" w:cs="Arial"/>
          <w:i/>
        </w:rPr>
        <w:t xml:space="preserve">= </w:t>
      </w:r>
      <w:r w:rsidRPr="00920CAD">
        <w:rPr>
          <w:rFonts w:ascii="Arial" w:hAnsi="Arial" w:cs="Arial"/>
        </w:rPr>
        <w:t>Fractional Solids Discrepancy for individual discharger (</w:t>
      </w:r>
      <w:r w:rsidRPr="00920CAD">
        <w:rPr>
          <w:rFonts w:ascii="Arial" w:hAnsi="Arial" w:cs="Arial"/>
          <w:i/>
        </w:rPr>
        <w:t>i</w:t>
      </w:r>
      <w:r w:rsidRPr="00920CAD">
        <w:rPr>
          <w:rFonts w:ascii="Arial" w:hAnsi="Arial" w:cs="Arial"/>
        </w:rPr>
        <w:t>)</w:t>
      </w:r>
    </w:p>
    <w:p w14:paraId="6BD95AB1" w14:textId="77777777" w:rsidR="009E6932" w:rsidRPr="00920CAD" w:rsidRDefault="009E6932" w:rsidP="009E6932">
      <w:pPr>
        <w:pStyle w:val="BodyTextLADWP"/>
        <w:spacing w:after="0"/>
        <w:ind w:left="1440"/>
        <w:rPr>
          <w:rFonts w:ascii="Arial" w:hAnsi="Arial" w:cs="Arial"/>
          <w:i/>
        </w:rPr>
      </w:pPr>
      <w:r w:rsidRPr="00920CAD">
        <w:rPr>
          <w:rFonts w:ascii="Arial" w:hAnsi="Arial" w:cs="Arial"/>
          <w:i/>
        </w:rPr>
        <w:t>Alk</w:t>
      </w:r>
      <w:r w:rsidRPr="00920CAD">
        <w:rPr>
          <w:rFonts w:ascii="Arial" w:hAnsi="Arial" w:cs="Arial"/>
          <w:i/>
          <w:vertAlign w:val="subscript"/>
        </w:rPr>
        <w:t>i</w:t>
      </w:r>
      <w:r w:rsidRPr="00920CAD">
        <w:rPr>
          <w:rFonts w:ascii="Arial" w:hAnsi="Arial" w:cs="Arial"/>
          <w:i/>
        </w:rPr>
        <w:t xml:space="preserve"> = </w:t>
      </w:r>
      <w:r w:rsidRPr="00920CAD">
        <w:rPr>
          <w:rFonts w:ascii="Arial" w:hAnsi="Arial" w:cs="Arial"/>
        </w:rPr>
        <w:t>Individual dissolved alkalinity loading to the NRWS for discharger (</w:t>
      </w:r>
      <w:r w:rsidRPr="00920CAD">
        <w:rPr>
          <w:rFonts w:ascii="Arial" w:hAnsi="Arial" w:cs="Arial"/>
          <w:i/>
        </w:rPr>
        <w:t>i</w:t>
      </w:r>
      <w:r w:rsidRPr="00920CAD">
        <w:rPr>
          <w:rFonts w:ascii="Arial" w:hAnsi="Arial" w:cs="Arial"/>
        </w:rPr>
        <w:t>)</w:t>
      </w:r>
    </w:p>
    <w:p w14:paraId="0C793283" w14:textId="77777777" w:rsidR="009E6932" w:rsidRPr="00920CAD" w:rsidRDefault="009E6932" w:rsidP="009E6932">
      <w:pPr>
        <w:pStyle w:val="BodyTextLADWP"/>
        <w:spacing w:after="0"/>
        <w:ind w:left="1440"/>
        <w:rPr>
          <w:rFonts w:ascii="Arial" w:hAnsi="Arial" w:cs="Arial"/>
        </w:rPr>
      </w:pPr>
      <w:r w:rsidRPr="00920CAD">
        <w:rPr>
          <w:rFonts w:ascii="Arial" w:hAnsi="Arial" w:cs="Arial"/>
          <w:i/>
        </w:rPr>
        <w:t>Alk</w:t>
      </w:r>
      <w:r w:rsidRPr="00920CAD">
        <w:rPr>
          <w:rFonts w:ascii="Arial" w:hAnsi="Arial" w:cs="Arial"/>
          <w:i/>
          <w:vertAlign w:val="subscript"/>
        </w:rPr>
        <w:t>T</w:t>
      </w:r>
      <w:r w:rsidRPr="00920CAD">
        <w:rPr>
          <w:rFonts w:ascii="Arial" w:hAnsi="Arial" w:cs="Arial"/>
          <w:i/>
        </w:rPr>
        <w:t xml:space="preserve"> = </w:t>
      </w:r>
      <w:r w:rsidRPr="00920CAD">
        <w:rPr>
          <w:rFonts w:ascii="Arial" w:hAnsi="Arial" w:cs="Arial"/>
        </w:rPr>
        <w:t>Combined dissolved alkalinity loading from all dischargers to the NRWS</w:t>
      </w:r>
    </w:p>
    <w:p w14:paraId="209388F5" w14:textId="77777777" w:rsidR="009E6932" w:rsidRPr="00920CAD" w:rsidRDefault="009E6932" w:rsidP="009E6932">
      <w:pPr>
        <w:pStyle w:val="BodyTextLADWP"/>
        <w:spacing w:after="0"/>
        <w:ind w:left="1440"/>
        <w:rPr>
          <w:rFonts w:ascii="Arial" w:hAnsi="Arial" w:cs="Arial"/>
          <w:i/>
        </w:rPr>
      </w:pPr>
      <w:r w:rsidRPr="00920CAD">
        <w:rPr>
          <w:rFonts w:ascii="Arial" w:hAnsi="Arial" w:cs="Arial"/>
          <w:i/>
        </w:rPr>
        <w:t>BOD</w:t>
      </w:r>
      <w:r w:rsidRPr="00920CAD">
        <w:rPr>
          <w:rFonts w:ascii="Arial" w:hAnsi="Arial" w:cs="Arial"/>
          <w:i/>
          <w:vertAlign w:val="subscript"/>
        </w:rPr>
        <w:t>i</w:t>
      </w:r>
      <w:r w:rsidRPr="00920CAD">
        <w:rPr>
          <w:rFonts w:ascii="Arial" w:hAnsi="Arial" w:cs="Arial"/>
          <w:i/>
        </w:rPr>
        <w:t xml:space="preserve"> = </w:t>
      </w:r>
      <w:r w:rsidRPr="00920CAD">
        <w:rPr>
          <w:rFonts w:ascii="Arial" w:hAnsi="Arial" w:cs="Arial"/>
        </w:rPr>
        <w:t>Individual BOD</w:t>
      </w:r>
      <w:r w:rsidRPr="00920CAD">
        <w:rPr>
          <w:rFonts w:ascii="Arial" w:hAnsi="Arial" w:cs="Arial"/>
          <w:vertAlign w:val="subscript"/>
        </w:rPr>
        <w:t>5</w:t>
      </w:r>
      <w:r w:rsidRPr="00920CAD">
        <w:rPr>
          <w:rFonts w:ascii="Arial" w:hAnsi="Arial" w:cs="Arial"/>
        </w:rPr>
        <w:t xml:space="preserve"> loading to the NRWS for discharger (</w:t>
      </w:r>
      <w:r w:rsidRPr="00920CAD">
        <w:rPr>
          <w:rFonts w:ascii="Arial" w:hAnsi="Arial" w:cs="Arial"/>
          <w:i/>
        </w:rPr>
        <w:t>i</w:t>
      </w:r>
      <w:r w:rsidRPr="00920CAD">
        <w:rPr>
          <w:rFonts w:ascii="Arial" w:hAnsi="Arial" w:cs="Arial"/>
        </w:rPr>
        <w:t>)</w:t>
      </w:r>
    </w:p>
    <w:p w14:paraId="56F9EFC7" w14:textId="77777777" w:rsidR="009E6932" w:rsidRPr="00920CAD" w:rsidRDefault="009E6932" w:rsidP="009E6932">
      <w:pPr>
        <w:pStyle w:val="BodyTextLADWP"/>
        <w:spacing w:after="0"/>
        <w:ind w:left="1440"/>
        <w:rPr>
          <w:rFonts w:ascii="Arial" w:hAnsi="Arial" w:cs="Arial"/>
        </w:rPr>
      </w:pPr>
      <w:r w:rsidRPr="00920CAD">
        <w:rPr>
          <w:rFonts w:ascii="Arial" w:hAnsi="Arial" w:cs="Arial"/>
          <w:i/>
        </w:rPr>
        <w:t>BOD</w:t>
      </w:r>
      <w:r w:rsidRPr="00920CAD">
        <w:rPr>
          <w:rFonts w:ascii="Arial" w:hAnsi="Arial" w:cs="Arial"/>
          <w:i/>
          <w:vertAlign w:val="subscript"/>
        </w:rPr>
        <w:t>T</w:t>
      </w:r>
      <w:r w:rsidRPr="00920CAD">
        <w:rPr>
          <w:rFonts w:ascii="Arial" w:hAnsi="Arial" w:cs="Arial"/>
          <w:i/>
        </w:rPr>
        <w:t xml:space="preserve"> = </w:t>
      </w:r>
      <w:r w:rsidRPr="00920CAD">
        <w:rPr>
          <w:rFonts w:ascii="Arial" w:hAnsi="Arial" w:cs="Arial"/>
        </w:rPr>
        <w:t>Combined BOD</w:t>
      </w:r>
      <w:r w:rsidRPr="00920CAD">
        <w:rPr>
          <w:rFonts w:ascii="Arial" w:hAnsi="Arial" w:cs="Arial"/>
          <w:vertAlign w:val="subscript"/>
        </w:rPr>
        <w:t>5</w:t>
      </w:r>
      <w:r w:rsidRPr="00920CAD">
        <w:rPr>
          <w:rFonts w:ascii="Arial" w:hAnsi="Arial" w:cs="Arial"/>
        </w:rPr>
        <w:t xml:space="preserve"> loading from all dischargers to the NRWS</w:t>
      </w:r>
    </w:p>
    <w:p w14:paraId="4D7077CA" w14:textId="77777777" w:rsidR="009E6932" w:rsidRPr="00920CAD" w:rsidRDefault="009E6932" w:rsidP="009E6932">
      <w:pPr>
        <w:pStyle w:val="BodyTextLADWP"/>
        <w:spacing w:after="0"/>
        <w:ind w:left="1440"/>
        <w:rPr>
          <w:rFonts w:ascii="Arial" w:hAnsi="Arial" w:cs="Arial"/>
          <w:i/>
        </w:rPr>
      </w:pPr>
      <w:r w:rsidRPr="00920CAD">
        <w:rPr>
          <w:rFonts w:ascii="Arial" w:hAnsi="Arial" w:cs="Arial"/>
          <w:i/>
        </w:rPr>
        <w:t>Ca</w:t>
      </w:r>
      <w:r w:rsidRPr="00920CAD">
        <w:rPr>
          <w:rFonts w:ascii="Arial" w:hAnsi="Arial" w:cs="Arial"/>
          <w:i/>
          <w:vertAlign w:val="subscript"/>
        </w:rPr>
        <w:t>i</w:t>
      </w:r>
      <w:r w:rsidRPr="00920CAD">
        <w:rPr>
          <w:rFonts w:ascii="Arial" w:hAnsi="Arial" w:cs="Arial"/>
          <w:i/>
        </w:rPr>
        <w:t xml:space="preserve"> = </w:t>
      </w:r>
      <w:r w:rsidRPr="00920CAD">
        <w:rPr>
          <w:rFonts w:ascii="Arial" w:hAnsi="Arial" w:cs="Arial"/>
        </w:rPr>
        <w:t>Individual dissolved calcium loading to the NRWS for discharger (</w:t>
      </w:r>
      <w:r w:rsidRPr="00920CAD">
        <w:rPr>
          <w:rFonts w:ascii="Arial" w:hAnsi="Arial" w:cs="Arial"/>
          <w:i/>
        </w:rPr>
        <w:t>i</w:t>
      </w:r>
      <w:r w:rsidRPr="00920CAD">
        <w:rPr>
          <w:rFonts w:ascii="Arial" w:hAnsi="Arial" w:cs="Arial"/>
        </w:rPr>
        <w:t>)</w:t>
      </w:r>
    </w:p>
    <w:p w14:paraId="6EB059B2" w14:textId="77777777" w:rsidR="009E6932" w:rsidRPr="00920CAD" w:rsidRDefault="009E6932" w:rsidP="009E6932">
      <w:pPr>
        <w:pStyle w:val="BodyTextLADWP"/>
        <w:spacing w:after="0"/>
        <w:ind w:left="1440"/>
        <w:rPr>
          <w:rFonts w:ascii="Arial" w:hAnsi="Arial" w:cs="Arial"/>
          <w:i/>
        </w:rPr>
      </w:pPr>
      <w:r w:rsidRPr="00920CAD">
        <w:rPr>
          <w:rFonts w:ascii="Arial" w:hAnsi="Arial" w:cs="Arial"/>
          <w:i/>
        </w:rPr>
        <w:t>Ca</w:t>
      </w:r>
      <w:r w:rsidRPr="00920CAD">
        <w:rPr>
          <w:rFonts w:ascii="Arial" w:hAnsi="Arial" w:cs="Arial"/>
          <w:i/>
          <w:vertAlign w:val="subscript"/>
        </w:rPr>
        <w:t>T</w:t>
      </w:r>
      <w:r w:rsidRPr="00920CAD">
        <w:rPr>
          <w:rFonts w:ascii="Arial" w:hAnsi="Arial" w:cs="Arial"/>
          <w:i/>
        </w:rPr>
        <w:t xml:space="preserve"> = </w:t>
      </w:r>
      <w:r w:rsidRPr="00920CAD">
        <w:rPr>
          <w:rFonts w:ascii="Arial" w:hAnsi="Arial" w:cs="Arial"/>
        </w:rPr>
        <w:t>Combine dissolved calcium loading from all dischargers to the NRWS</w:t>
      </w:r>
      <w:r w:rsidRPr="00920CAD">
        <w:rPr>
          <w:rFonts w:ascii="Arial" w:hAnsi="Arial" w:cs="Arial"/>
          <w:i/>
        </w:rPr>
        <w:t xml:space="preserve"> </w:t>
      </w:r>
    </w:p>
    <w:p w14:paraId="7E6DEF48" w14:textId="77777777" w:rsidR="009E6932" w:rsidRPr="00920CAD" w:rsidRDefault="009E6932" w:rsidP="009E6932">
      <w:pPr>
        <w:pStyle w:val="BodyTextLADWP"/>
        <w:spacing w:after="0"/>
        <w:ind w:left="1440"/>
        <w:rPr>
          <w:rFonts w:ascii="Arial" w:hAnsi="Arial" w:cs="Arial"/>
          <w:i/>
        </w:rPr>
      </w:pPr>
      <w:r w:rsidRPr="00920CAD">
        <w:rPr>
          <w:rFonts w:ascii="Arial" w:hAnsi="Arial" w:cs="Arial"/>
          <w:i/>
        </w:rPr>
        <w:t>Flow</w:t>
      </w:r>
      <w:r w:rsidRPr="00920CAD">
        <w:rPr>
          <w:rFonts w:ascii="Arial" w:hAnsi="Arial" w:cs="Arial"/>
          <w:i/>
          <w:vertAlign w:val="subscript"/>
        </w:rPr>
        <w:t>i</w:t>
      </w:r>
      <w:r w:rsidRPr="00920CAD">
        <w:rPr>
          <w:rFonts w:ascii="Arial" w:hAnsi="Arial" w:cs="Arial"/>
          <w:i/>
        </w:rPr>
        <w:t xml:space="preserve"> = </w:t>
      </w:r>
      <w:r w:rsidRPr="00920CAD">
        <w:rPr>
          <w:rFonts w:ascii="Arial" w:hAnsi="Arial" w:cs="Arial"/>
        </w:rPr>
        <w:t>Individual flow contribution to the NRWS from discharger (</w:t>
      </w:r>
      <w:r w:rsidRPr="00920CAD">
        <w:rPr>
          <w:rFonts w:ascii="Arial" w:hAnsi="Arial" w:cs="Arial"/>
          <w:i/>
        </w:rPr>
        <w:t>i</w:t>
      </w:r>
      <w:r w:rsidRPr="00920CAD">
        <w:rPr>
          <w:rFonts w:ascii="Arial" w:hAnsi="Arial" w:cs="Arial"/>
        </w:rPr>
        <w:t>)</w:t>
      </w:r>
    </w:p>
    <w:p w14:paraId="5A819377" w14:textId="77777777" w:rsidR="009E6932" w:rsidRPr="00920CAD" w:rsidRDefault="009E6932" w:rsidP="009E6932">
      <w:pPr>
        <w:pStyle w:val="BodyTextLADWP"/>
        <w:spacing w:after="0"/>
        <w:ind w:left="1440"/>
        <w:rPr>
          <w:rFonts w:ascii="Arial" w:hAnsi="Arial" w:cs="Arial"/>
        </w:rPr>
      </w:pPr>
      <w:r w:rsidRPr="00920CAD">
        <w:rPr>
          <w:rFonts w:ascii="Arial" w:hAnsi="Arial" w:cs="Arial"/>
          <w:i/>
        </w:rPr>
        <w:t>Flow</w:t>
      </w:r>
      <w:r w:rsidRPr="00920CAD">
        <w:rPr>
          <w:rFonts w:ascii="Arial" w:hAnsi="Arial" w:cs="Arial"/>
          <w:i/>
          <w:vertAlign w:val="subscript"/>
        </w:rPr>
        <w:t>T</w:t>
      </w:r>
      <w:r w:rsidRPr="00920CAD">
        <w:rPr>
          <w:rFonts w:ascii="Arial" w:hAnsi="Arial" w:cs="Arial"/>
          <w:i/>
        </w:rPr>
        <w:t xml:space="preserve"> = </w:t>
      </w:r>
      <w:r w:rsidRPr="00920CAD">
        <w:rPr>
          <w:rFonts w:ascii="Arial" w:hAnsi="Arial" w:cs="Arial"/>
        </w:rPr>
        <w:t>Combined flow from all dischargers to the NRWS</w:t>
      </w:r>
    </w:p>
    <w:p w14:paraId="3803353E" w14:textId="77777777" w:rsidR="009E6932" w:rsidRPr="00920CAD" w:rsidRDefault="009E6932" w:rsidP="009E6932">
      <w:pPr>
        <w:ind w:left="1440"/>
        <w:jc w:val="both"/>
        <w:rPr>
          <w:rFonts w:ascii="Arial" w:hAnsi="Arial" w:cs="Arial"/>
          <w:szCs w:val="24"/>
        </w:rPr>
      </w:pPr>
    </w:p>
    <w:p w14:paraId="4E3DB2B7" w14:textId="73472126" w:rsidR="00B125B1" w:rsidRPr="00920CAD" w:rsidRDefault="00A21AD9" w:rsidP="00B125B1">
      <w:pPr>
        <w:pStyle w:val="ListParagraph"/>
        <w:numPr>
          <w:ilvl w:val="0"/>
          <w:numId w:val="32"/>
        </w:numPr>
        <w:tabs>
          <w:tab w:val="clear" w:pos="2340"/>
        </w:tabs>
        <w:ind w:left="1440"/>
        <w:jc w:val="both"/>
        <w:rPr>
          <w:rFonts w:ascii="Arial" w:hAnsi="Arial" w:cs="Arial"/>
          <w:szCs w:val="24"/>
        </w:rPr>
      </w:pPr>
      <w:r w:rsidRPr="00920CAD">
        <w:rPr>
          <w:rFonts w:ascii="Arial" w:hAnsi="Arial" w:cs="Arial"/>
          <w:szCs w:val="24"/>
        </w:rPr>
        <w:t>OTHER</w:t>
      </w:r>
      <w:r w:rsidR="00B125B1" w:rsidRPr="00920CAD">
        <w:rPr>
          <w:rFonts w:ascii="Arial" w:hAnsi="Arial" w:cs="Arial"/>
          <w:szCs w:val="24"/>
        </w:rPr>
        <w:t xml:space="preserve"> </w:t>
      </w:r>
      <w:r w:rsidRPr="00920CAD">
        <w:rPr>
          <w:rFonts w:ascii="Arial" w:hAnsi="Arial" w:cs="Arial"/>
          <w:szCs w:val="24"/>
        </w:rPr>
        <w:t>IMBALANCE</w:t>
      </w:r>
      <w:r w:rsidR="00B125B1" w:rsidRPr="00920CAD">
        <w:rPr>
          <w:rFonts w:ascii="Arial" w:hAnsi="Arial" w:cs="Arial"/>
          <w:szCs w:val="24"/>
        </w:rPr>
        <w:t xml:space="preserve"> C</w:t>
      </w:r>
      <w:r w:rsidRPr="00920CAD">
        <w:rPr>
          <w:rFonts w:ascii="Arial" w:hAnsi="Arial" w:cs="Arial"/>
          <w:szCs w:val="24"/>
        </w:rPr>
        <w:t>HARGES</w:t>
      </w:r>
    </w:p>
    <w:p w14:paraId="1F2065F4" w14:textId="77777777" w:rsidR="00B125B1" w:rsidRPr="00920CAD" w:rsidRDefault="00B125B1" w:rsidP="00E46D87">
      <w:pPr>
        <w:pStyle w:val="ListParagraph"/>
        <w:ind w:left="1440"/>
        <w:jc w:val="both"/>
        <w:rPr>
          <w:rFonts w:ascii="Arial" w:hAnsi="Arial" w:cs="Arial"/>
          <w:szCs w:val="24"/>
        </w:rPr>
      </w:pPr>
    </w:p>
    <w:p w14:paraId="4B57A313" w14:textId="0499DBD5" w:rsidR="005C26D0" w:rsidRPr="00920CAD" w:rsidRDefault="005C26D0" w:rsidP="00E46D87">
      <w:pPr>
        <w:pStyle w:val="ListParagraph"/>
        <w:ind w:left="1440"/>
        <w:jc w:val="both"/>
        <w:rPr>
          <w:rFonts w:ascii="Arial" w:hAnsi="Arial" w:cs="Arial"/>
          <w:szCs w:val="24"/>
        </w:rPr>
      </w:pPr>
      <w:r w:rsidRPr="00920CAD">
        <w:rPr>
          <w:rFonts w:ascii="Arial" w:hAnsi="Arial" w:cs="Arial"/>
          <w:szCs w:val="24"/>
        </w:rPr>
        <w:t xml:space="preserve">IEUA will pass </w:t>
      </w:r>
      <w:r w:rsidR="009E6932" w:rsidRPr="00920CAD">
        <w:rPr>
          <w:rFonts w:ascii="Arial" w:hAnsi="Arial" w:cs="Arial"/>
          <w:szCs w:val="24"/>
        </w:rPr>
        <w:t xml:space="preserve">to </w:t>
      </w:r>
      <w:r w:rsidR="00B125B1" w:rsidRPr="00920CAD">
        <w:rPr>
          <w:rFonts w:ascii="Arial" w:hAnsi="Arial" w:cs="Arial"/>
          <w:szCs w:val="24"/>
        </w:rPr>
        <w:t>NRWS</w:t>
      </w:r>
      <w:r w:rsidR="009E6932" w:rsidRPr="00920CAD">
        <w:rPr>
          <w:rFonts w:ascii="Arial" w:hAnsi="Arial" w:cs="Arial"/>
          <w:szCs w:val="24"/>
        </w:rPr>
        <w:t xml:space="preserve"> discharge</w:t>
      </w:r>
      <w:r w:rsidR="00B125B1" w:rsidRPr="00920CAD">
        <w:rPr>
          <w:rFonts w:ascii="Arial" w:hAnsi="Arial" w:cs="Arial"/>
          <w:szCs w:val="24"/>
        </w:rPr>
        <w:t>r</w:t>
      </w:r>
      <w:r w:rsidR="009E6932" w:rsidRPr="00920CAD">
        <w:rPr>
          <w:rFonts w:ascii="Arial" w:hAnsi="Arial" w:cs="Arial"/>
          <w:szCs w:val="24"/>
        </w:rPr>
        <w:t xml:space="preserve">s </w:t>
      </w:r>
      <w:r w:rsidRPr="00920CAD">
        <w:rPr>
          <w:rFonts w:ascii="Arial" w:hAnsi="Arial" w:cs="Arial"/>
          <w:szCs w:val="24"/>
        </w:rPr>
        <w:t xml:space="preserve">any </w:t>
      </w:r>
      <w:r w:rsidR="00A21AD9" w:rsidRPr="00920CAD">
        <w:rPr>
          <w:rFonts w:ascii="Arial" w:hAnsi="Arial" w:cs="Arial"/>
          <w:szCs w:val="24"/>
        </w:rPr>
        <w:t xml:space="preserve">other </w:t>
      </w:r>
      <w:r w:rsidRPr="00920CAD">
        <w:rPr>
          <w:rFonts w:ascii="Arial" w:hAnsi="Arial" w:cs="Arial"/>
          <w:szCs w:val="24"/>
        </w:rPr>
        <w:t xml:space="preserve">charges from CSDLAC invoiced to the Agency </w:t>
      </w:r>
      <w:r w:rsidR="00A21AD9" w:rsidRPr="00920CAD">
        <w:rPr>
          <w:rFonts w:ascii="Arial" w:hAnsi="Arial" w:cs="Arial"/>
          <w:szCs w:val="24"/>
        </w:rPr>
        <w:t xml:space="preserve">as a result of imbalance in </w:t>
      </w:r>
      <w:r w:rsidRPr="00920CAD">
        <w:rPr>
          <w:rFonts w:ascii="Arial" w:hAnsi="Arial" w:cs="Arial"/>
          <w:szCs w:val="24"/>
        </w:rPr>
        <w:t xml:space="preserve">the NRWS, including volumetric, COD, and NRWSCU imbalance charges.  The charges shall be calculated </w:t>
      </w:r>
      <w:r w:rsidR="00BE142B" w:rsidRPr="00920CAD">
        <w:rPr>
          <w:rFonts w:ascii="Arial" w:hAnsi="Arial" w:cs="Arial"/>
          <w:szCs w:val="24"/>
        </w:rPr>
        <w:t>on pro rata share for each component</w:t>
      </w:r>
      <w:r w:rsidRPr="00920CAD">
        <w:rPr>
          <w:rFonts w:ascii="Arial" w:hAnsi="Arial" w:cs="Arial"/>
          <w:szCs w:val="24"/>
        </w:rPr>
        <w:t xml:space="preserve"> and invoiced on a quarterly basis.</w:t>
      </w:r>
    </w:p>
    <w:p w14:paraId="09449250" w14:textId="77777777" w:rsidR="00767189" w:rsidRPr="00920CAD" w:rsidRDefault="00767189" w:rsidP="00977B2D">
      <w:pPr>
        <w:ind w:left="810"/>
        <w:jc w:val="both"/>
        <w:rPr>
          <w:rFonts w:ascii="Arial" w:hAnsi="Arial" w:cs="Arial"/>
          <w:b/>
          <w:szCs w:val="24"/>
          <w:u w:val="single"/>
        </w:rPr>
      </w:pPr>
    </w:p>
    <w:p w14:paraId="52273095" w14:textId="79992FD7" w:rsidR="006B6572" w:rsidRPr="00920CAD" w:rsidRDefault="00147F96" w:rsidP="00977B2D">
      <w:pPr>
        <w:ind w:left="810"/>
        <w:jc w:val="both"/>
        <w:rPr>
          <w:rFonts w:ascii="Arial" w:hAnsi="Arial" w:cs="Arial"/>
          <w:szCs w:val="24"/>
        </w:rPr>
      </w:pPr>
      <w:r w:rsidRPr="00920CAD">
        <w:rPr>
          <w:rFonts w:ascii="Arial" w:hAnsi="Arial" w:cs="Arial"/>
          <w:b/>
          <w:szCs w:val="24"/>
          <w:u w:val="single"/>
        </w:rPr>
        <w:t xml:space="preserve">Section </w:t>
      </w:r>
      <w:r w:rsidR="00BE142B" w:rsidRPr="00920CAD">
        <w:rPr>
          <w:rFonts w:ascii="Arial" w:hAnsi="Arial" w:cs="Arial"/>
          <w:b/>
          <w:szCs w:val="24"/>
          <w:u w:val="single"/>
        </w:rPr>
        <w:t>4</w:t>
      </w:r>
      <w:r w:rsidRPr="00920CAD">
        <w:rPr>
          <w:rFonts w:ascii="Arial" w:hAnsi="Arial" w:cs="Arial"/>
          <w:szCs w:val="24"/>
        </w:rPr>
        <w:tab/>
        <w:t>OTHER CHARGES</w:t>
      </w:r>
    </w:p>
    <w:p w14:paraId="447FB02D" w14:textId="77777777" w:rsidR="006B6572" w:rsidRPr="00920CAD" w:rsidRDefault="006B6572" w:rsidP="00977B2D">
      <w:pPr>
        <w:ind w:left="810"/>
        <w:jc w:val="both"/>
        <w:rPr>
          <w:rFonts w:ascii="Arial" w:hAnsi="Arial" w:cs="Arial"/>
          <w:szCs w:val="24"/>
        </w:rPr>
      </w:pPr>
    </w:p>
    <w:p w14:paraId="71968556" w14:textId="7D564F9F" w:rsidR="006B6572" w:rsidRPr="00920CAD" w:rsidRDefault="006B6572" w:rsidP="00977B2D">
      <w:pPr>
        <w:ind w:left="810"/>
        <w:jc w:val="both"/>
        <w:rPr>
          <w:rFonts w:ascii="Arial" w:hAnsi="Arial" w:cs="Arial"/>
          <w:szCs w:val="24"/>
        </w:rPr>
      </w:pPr>
      <w:r w:rsidRPr="00920CAD">
        <w:rPr>
          <w:rFonts w:ascii="Arial" w:hAnsi="Arial" w:cs="Arial"/>
          <w:szCs w:val="24"/>
        </w:rPr>
        <w:t>IEUA will pass on any other charges from CSDLAC invoiced to the Agency to dischargers to the NRWS, such as, but not limited to, permit</w:t>
      </w:r>
      <w:r w:rsidR="00177DB6" w:rsidRPr="00920CAD">
        <w:rPr>
          <w:rFonts w:ascii="Arial" w:hAnsi="Arial" w:cs="Arial"/>
          <w:szCs w:val="24"/>
        </w:rPr>
        <w:t xml:space="preserve"> fees</w:t>
      </w:r>
      <w:r w:rsidRPr="00920CAD">
        <w:rPr>
          <w:rFonts w:ascii="Arial" w:hAnsi="Arial" w:cs="Arial"/>
          <w:szCs w:val="24"/>
        </w:rPr>
        <w:t>, inspection</w:t>
      </w:r>
      <w:r w:rsidR="00177DB6" w:rsidRPr="00920CAD">
        <w:rPr>
          <w:rFonts w:ascii="Arial" w:hAnsi="Arial" w:cs="Arial"/>
          <w:szCs w:val="24"/>
        </w:rPr>
        <w:t xml:space="preserve"> fees</w:t>
      </w:r>
      <w:r w:rsidRPr="00920CAD">
        <w:rPr>
          <w:rFonts w:ascii="Arial" w:hAnsi="Arial" w:cs="Arial"/>
          <w:szCs w:val="24"/>
        </w:rPr>
        <w:t>, analytical fees, etc.</w:t>
      </w:r>
    </w:p>
    <w:p w14:paraId="36863006" w14:textId="77777777" w:rsidR="006B6572" w:rsidRPr="00920CAD" w:rsidRDefault="006B6572" w:rsidP="006B6572">
      <w:pPr>
        <w:jc w:val="both"/>
        <w:rPr>
          <w:rFonts w:ascii="Arial" w:hAnsi="Arial" w:cs="Arial"/>
          <w:szCs w:val="24"/>
          <w:u w:val="single"/>
        </w:rPr>
      </w:pPr>
    </w:p>
    <w:tbl>
      <w:tblPr>
        <w:tblW w:w="8838" w:type="dxa"/>
        <w:tblInd w:w="738" w:type="dxa"/>
        <w:tblCellMar>
          <w:left w:w="72" w:type="dxa"/>
          <w:right w:w="72" w:type="dxa"/>
        </w:tblCellMar>
        <w:tblLook w:val="04A0" w:firstRow="1" w:lastRow="0" w:firstColumn="1" w:lastColumn="0" w:noHBand="0" w:noVBand="1"/>
      </w:tblPr>
      <w:tblGrid>
        <w:gridCol w:w="7290"/>
        <w:gridCol w:w="1548"/>
      </w:tblGrid>
      <w:tr w:rsidR="00920CAD" w:rsidRPr="00920CAD" w14:paraId="0F24D5DE" w14:textId="77777777" w:rsidTr="00C127CA">
        <w:trPr>
          <w:trHeight w:val="625"/>
        </w:trPr>
        <w:tc>
          <w:tcPr>
            <w:tcW w:w="7290" w:type="dxa"/>
            <w:tcBorders>
              <w:top w:val="nil"/>
              <w:left w:val="nil"/>
              <w:bottom w:val="nil"/>
              <w:right w:val="nil"/>
            </w:tcBorders>
            <w:shd w:val="clear" w:color="auto" w:fill="auto"/>
            <w:noWrap/>
            <w:vAlign w:val="center"/>
            <w:hideMark/>
          </w:tcPr>
          <w:p w14:paraId="54ED32B7" w14:textId="51BAF3DC" w:rsidR="0055257C" w:rsidRPr="00920CAD" w:rsidRDefault="0055257C" w:rsidP="0055257C">
            <w:pPr>
              <w:widowControl/>
              <w:jc w:val="both"/>
              <w:rPr>
                <w:rFonts w:ascii="Arial" w:hAnsi="Arial" w:cs="Arial"/>
                <w:b/>
                <w:bCs/>
                <w:snapToGrid/>
                <w:szCs w:val="24"/>
                <w:u w:val="single"/>
              </w:rPr>
            </w:pPr>
            <w:r w:rsidRPr="00920CAD">
              <w:rPr>
                <w:rFonts w:ascii="Arial" w:hAnsi="Arial" w:cs="Arial"/>
                <w:b/>
                <w:bCs/>
                <w:snapToGrid/>
                <w:szCs w:val="24"/>
                <w:u w:val="single"/>
              </w:rPr>
              <w:t>Section 5</w:t>
            </w:r>
            <w:r w:rsidRPr="00920CAD">
              <w:rPr>
                <w:rFonts w:ascii="Arial" w:hAnsi="Arial" w:cs="Arial"/>
                <w:snapToGrid/>
                <w:szCs w:val="24"/>
              </w:rPr>
              <w:tab/>
              <w:t>That Application fee for a NRWS Capacity Unit Purchase or Annual Lease shall be:</w:t>
            </w:r>
          </w:p>
        </w:tc>
        <w:tc>
          <w:tcPr>
            <w:tcW w:w="1548" w:type="dxa"/>
            <w:tcBorders>
              <w:top w:val="nil"/>
              <w:left w:val="nil"/>
              <w:bottom w:val="nil"/>
              <w:right w:val="nil"/>
            </w:tcBorders>
            <w:shd w:val="clear" w:color="auto" w:fill="auto"/>
            <w:noWrap/>
            <w:hideMark/>
          </w:tcPr>
          <w:p w14:paraId="2ABF7CD6" w14:textId="66D6A7E5" w:rsidR="0055257C" w:rsidRPr="00920CAD" w:rsidRDefault="0055257C" w:rsidP="0055257C">
            <w:pPr>
              <w:jc w:val="right"/>
            </w:pPr>
            <w:r w:rsidRPr="00920CAD">
              <w:t>$250.00</w:t>
            </w:r>
          </w:p>
        </w:tc>
      </w:tr>
      <w:tr w:rsidR="00920CAD" w:rsidRPr="00920CAD" w14:paraId="42FC7E44" w14:textId="77777777" w:rsidTr="00C127CA">
        <w:trPr>
          <w:trHeight w:val="258"/>
        </w:trPr>
        <w:tc>
          <w:tcPr>
            <w:tcW w:w="7290" w:type="dxa"/>
            <w:tcBorders>
              <w:top w:val="nil"/>
              <w:left w:val="nil"/>
              <w:bottom w:val="nil"/>
              <w:right w:val="nil"/>
            </w:tcBorders>
            <w:shd w:val="clear" w:color="auto" w:fill="auto"/>
            <w:noWrap/>
            <w:hideMark/>
          </w:tcPr>
          <w:p w14:paraId="132D5B00" w14:textId="77777777" w:rsidR="0055257C" w:rsidRPr="00920CAD" w:rsidRDefault="0055257C" w:rsidP="0055257C">
            <w:pPr>
              <w:widowControl/>
              <w:rPr>
                <w:rFonts w:ascii="Times New Roman" w:hAnsi="Times New Roman"/>
                <w:snapToGrid/>
                <w:szCs w:val="24"/>
              </w:rPr>
            </w:pPr>
          </w:p>
        </w:tc>
        <w:tc>
          <w:tcPr>
            <w:tcW w:w="1548" w:type="dxa"/>
            <w:tcBorders>
              <w:top w:val="nil"/>
              <w:left w:val="nil"/>
              <w:bottom w:val="nil"/>
              <w:right w:val="nil"/>
            </w:tcBorders>
            <w:shd w:val="clear" w:color="auto" w:fill="auto"/>
            <w:noWrap/>
            <w:hideMark/>
          </w:tcPr>
          <w:p w14:paraId="4E08CF10" w14:textId="77777777" w:rsidR="0055257C" w:rsidRPr="00920CAD" w:rsidRDefault="0055257C" w:rsidP="0055257C">
            <w:pPr>
              <w:widowControl/>
              <w:rPr>
                <w:rFonts w:ascii="Arial" w:hAnsi="Arial" w:cs="Arial"/>
                <w:snapToGrid/>
                <w:szCs w:val="24"/>
              </w:rPr>
            </w:pPr>
          </w:p>
        </w:tc>
      </w:tr>
      <w:tr w:rsidR="00920CAD" w:rsidRPr="00920CAD" w14:paraId="3187804B" w14:textId="77777777" w:rsidTr="00C127CA">
        <w:trPr>
          <w:trHeight w:val="828"/>
        </w:trPr>
        <w:tc>
          <w:tcPr>
            <w:tcW w:w="7290" w:type="dxa"/>
            <w:tcBorders>
              <w:top w:val="nil"/>
              <w:left w:val="nil"/>
              <w:bottom w:val="nil"/>
              <w:right w:val="nil"/>
            </w:tcBorders>
            <w:shd w:val="clear" w:color="auto" w:fill="auto"/>
            <w:noWrap/>
            <w:vAlign w:val="center"/>
            <w:hideMark/>
          </w:tcPr>
          <w:p w14:paraId="6B84CE4B" w14:textId="48CAC291" w:rsidR="0055257C" w:rsidRPr="00920CAD" w:rsidRDefault="0055257C" w:rsidP="0055257C">
            <w:pPr>
              <w:widowControl/>
              <w:jc w:val="both"/>
              <w:rPr>
                <w:rFonts w:ascii="Arial" w:hAnsi="Arial" w:cs="Arial"/>
                <w:b/>
                <w:bCs/>
                <w:snapToGrid/>
                <w:szCs w:val="24"/>
                <w:u w:val="single"/>
              </w:rPr>
            </w:pPr>
            <w:r w:rsidRPr="00920CAD">
              <w:rPr>
                <w:rFonts w:ascii="Arial" w:hAnsi="Arial" w:cs="Arial"/>
                <w:b/>
                <w:bCs/>
                <w:snapToGrid/>
                <w:szCs w:val="24"/>
                <w:u w:val="single"/>
              </w:rPr>
              <w:t>Section 6</w:t>
            </w:r>
            <w:r w:rsidRPr="00920CAD">
              <w:rPr>
                <w:rFonts w:ascii="Arial" w:hAnsi="Arial" w:cs="Arial"/>
                <w:snapToGrid/>
                <w:szCs w:val="24"/>
              </w:rPr>
              <w:tab/>
              <w:t>That Initial Wastewater Discharge Permit Application, Ownership Change with Process Changes, and Permit Renewal fees for wastewater generators who discharge directly through pipeline connection to the NRWS sewer system shall be:</w:t>
            </w:r>
          </w:p>
        </w:tc>
        <w:tc>
          <w:tcPr>
            <w:tcW w:w="1548" w:type="dxa"/>
            <w:tcBorders>
              <w:top w:val="nil"/>
              <w:left w:val="nil"/>
              <w:bottom w:val="nil"/>
              <w:right w:val="nil"/>
            </w:tcBorders>
            <w:shd w:val="clear" w:color="auto" w:fill="auto"/>
            <w:noWrap/>
            <w:hideMark/>
          </w:tcPr>
          <w:p w14:paraId="60EAFA0C" w14:textId="77777777" w:rsidR="0055257C" w:rsidRPr="00920CAD" w:rsidRDefault="0055257C" w:rsidP="0055257C">
            <w:pPr>
              <w:widowControl/>
              <w:rPr>
                <w:rFonts w:ascii="Arial" w:hAnsi="Arial" w:cs="Arial"/>
                <w:snapToGrid/>
                <w:szCs w:val="24"/>
              </w:rPr>
            </w:pPr>
          </w:p>
        </w:tc>
      </w:tr>
      <w:tr w:rsidR="00920CAD" w:rsidRPr="00920CAD" w14:paraId="7DF5427E" w14:textId="77777777" w:rsidTr="00C127CA">
        <w:trPr>
          <w:trHeight w:val="258"/>
        </w:trPr>
        <w:tc>
          <w:tcPr>
            <w:tcW w:w="7290" w:type="dxa"/>
            <w:tcBorders>
              <w:top w:val="nil"/>
              <w:left w:val="nil"/>
              <w:bottom w:val="nil"/>
              <w:right w:val="nil"/>
            </w:tcBorders>
            <w:shd w:val="clear" w:color="auto" w:fill="auto"/>
            <w:noWrap/>
            <w:hideMark/>
          </w:tcPr>
          <w:p w14:paraId="3651803C" w14:textId="77777777" w:rsidR="0055257C" w:rsidRPr="00920CAD" w:rsidRDefault="0055257C" w:rsidP="0055257C">
            <w:pPr>
              <w:widowControl/>
              <w:rPr>
                <w:rFonts w:ascii="Times New Roman" w:hAnsi="Times New Roman"/>
                <w:snapToGrid/>
                <w:szCs w:val="24"/>
              </w:rPr>
            </w:pPr>
          </w:p>
        </w:tc>
        <w:tc>
          <w:tcPr>
            <w:tcW w:w="1548" w:type="dxa"/>
            <w:tcBorders>
              <w:top w:val="nil"/>
              <w:left w:val="nil"/>
              <w:bottom w:val="nil"/>
              <w:right w:val="nil"/>
            </w:tcBorders>
            <w:shd w:val="clear" w:color="auto" w:fill="auto"/>
            <w:noWrap/>
            <w:hideMark/>
          </w:tcPr>
          <w:p w14:paraId="6FB1401B" w14:textId="77777777" w:rsidR="0055257C" w:rsidRPr="00920CAD" w:rsidRDefault="0055257C" w:rsidP="0055257C">
            <w:pPr>
              <w:widowControl/>
              <w:rPr>
                <w:rFonts w:ascii="Arial" w:hAnsi="Arial" w:cs="Arial"/>
                <w:snapToGrid/>
                <w:szCs w:val="24"/>
              </w:rPr>
            </w:pPr>
          </w:p>
        </w:tc>
      </w:tr>
      <w:tr w:rsidR="00920CAD" w:rsidRPr="00920CAD" w14:paraId="16FA25C8" w14:textId="77777777" w:rsidTr="00C127CA">
        <w:trPr>
          <w:trHeight w:val="258"/>
        </w:trPr>
        <w:tc>
          <w:tcPr>
            <w:tcW w:w="7290" w:type="dxa"/>
            <w:tcBorders>
              <w:top w:val="nil"/>
              <w:left w:val="nil"/>
              <w:bottom w:val="nil"/>
              <w:right w:val="nil"/>
            </w:tcBorders>
            <w:shd w:val="clear" w:color="auto" w:fill="auto"/>
            <w:noWrap/>
            <w:vAlign w:val="center"/>
            <w:hideMark/>
          </w:tcPr>
          <w:p w14:paraId="4504D130" w14:textId="12CA8D40" w:rsidR="0055257C" w:rsidRPr="00920CAD" w:rsidRDefault="0055257C" w:rsidP="0055257C">
            <w:pPr>
              <w:widowControl/>
              <w:rPr>
                <w:rFonts w:ascii="Arial" w:hAnsi="Arial" w:cs="Arial"/>
                <w:b/>
                <w:snapToGrid/>
                <w:szCs w:val="24"/>
              </w:rPr>
            </w:pPr>
            <w:r w:rsidRPr="00920CAD">
              <w:rPr>
                <w:rFonts w:ascii="Arial" w:hAnsi="Arial" w:cs="Arial"/>
                <w:b/>
                <w:snapToGrid/>
                <w:szCs w:val="24"/>
              </w:rPr>
              <w:t>Initial Wastewater Discharge Permit Application Fees</w:t>
            </w:r>
            <w:r w:rsidR="008F3158" w:rsidRPr="00920CAD">
              <w:rPr>
                <w:rFonts w:ascii="Arial" w:hAnsi="Arial" w:cs="Arial"/>
                <w:b/>
                <w:snapToGrid/>
                <w:szCs w:val="24"/>
              </w:rPr>
              <w:t>:</w:t>
            </w:r>
            <w:r w:rsidRPr="00920CAD">
              <w:rPr>
                <w:rFonts w:ascii="Arial" w:hAnsi="Arial" w:cs="Arial"/>
                <w:b/>
                <w:snapToGrid/>
                <w:szCs w:val="24"/>
              </w:rPr>
              <w:t xml:space="preserve"> </w:t>
            </w:r>
            <w:r w:rsidRPr="00920CAD">
              <w:rPr>
                <w:rFonts w:ascii="Arial" w:hAnsi="Arial" w:cs="Arial"/>
                <w:snapToGrid/>
                <w:szCs w:val="24"/>
              </w:rPr>
              <w:t>(Ownership Change with Process Changes included)</w:t>
            </w:r>
          </w:p>
        </w:tc>
        <w:tc>
          <w:tcPr>
            <w:tcW w:w="1548" w:type="dxa"/>
            <w:tcBorders>
              <w:top w:val="nil"/>
              <w:left w:val="nil"/>
              <w:bottom w:val="nil"/>
              <w:right w:val="nil"/>
            </w:tcBorders>
            <w:shd w:val="clear" w:color="auto" w:fill="auto"/>
            <w:noWrap/>
            <w:hideMark/>
          </w:tcPr>
          <w:p w14:paraId="64D9EA30" w14:textId="77777777" w:rsidR="0055257C" w:rsidRPr="00920CAD" w:rsidRDefault="0055257C" w:rsidP="0055257C">
            <w:pPr>
              <w:widowControl/>
              <w:rPr>
                <w:rFonts w:ascii="Arial" w:hAnsi="Arial" w:cs="Arial"/>
                <w:snapToGrid/>
                <w:szCs w:val="24"/>
              </w:rPr>
            </w:pPr>
          </w:p>
        </w:tc>
      </w:tr>
      <w:tr w:rsidR="00920CAD" w:rsidRPr="00920CAD" w14:paraId="1F6E684B" w14:textId="77777777" w:rsidTr="00C127CA">
        <w:trPr>
          <w:trHeight w:val="258"/>
        </w:trPr>
        <w:tc>
          <w:tcPr>
            <w:tcW w:w="7290" w:type="dxa"/>
            <w:tcBorders>
              <w:top w:val="nil"/>
              <w:left w:val="nil"/>
              <w:bottom w:val="nil"/>
              <w:right w:val="nil"/>
            </w:tcBorders>
            <w:shd w:val="clear" w:color="auto" w:fill="auto"/>
            <w:noWrap/>
            <w:hideMark/>
          </w:tcPr>
          <w:p w14:paraId="1588242E" w14:textId="77777777" w:rsidR="0055257C" w:rsidRPr="00920CAD" w:rsidRDefault="0055257C" w:rsidP="0055257C">
            <w:pPr>
              <w:widowControl/>
              <w:rPr>
                <w:rFonts w:ascii="Times New Roman" w:hAnsi="Times New Roman"/>
                <w:snapToGrid/>
                <w:szCs w:val="24"/>
              </w:rPr>
            </w:pPr>
          </w:p>
        </w:tc>
        <w:tc>
          <w:tcPr>
            <w:tcW w:w="1548" w:type="dxa"/>
            <w:tcBorders>
              <w:top w:val="nil"/>
              <w:left w:val="nil"/>
              <w:bottom w:val="nil"/>
              <w:right w:val="nil"/>
            </w:tcBorders>
            <w:shd w:val="clear" w:color="auto" w:fill="auto"/>
            <w:noWrap/>
            <w:hideMark/>
          </w:tcPr>
          <w:p w14:paraId="22E0A6DE" w14:textId="77777777" w:rsidR="0055257C" w:rsidRPr="00920CAD" w:rsidRDefault="0055257C" w:rsidP="0055257C">
            <w:pPr>
              <w:widowControl/>
              <w:rPr>
                <w:rFonts w:ascii="Arial" w:hAnsi="Arial" w:cs="Arial"/>
                <w:snapToGrid/>
                <w:szCs w:val="24"/>
              </w:rPr>
            </w:pPr>
          </w:p>
        </w:tc>
      </w:tr>
      <w:tr w:rsidR="00920CAD" w:rsidRPr="00920CAD" w14:paraId="466C76B0" w14:textId="77777777" w:rsidTr="00C127CA">
        <w:trPr>
          <w:trHeight w:val="258"/>
        </w:trPr>
        <w:tc>
          <w:tcPr>
            <w:tcW w:w="7290" w:type="dxa"/>
            <w:tcBorders>
              <w:top w:val="nil"/>
              <w:left w:val="nil"/>
              <w:bottom w:val="nil"/>
              <w:right w:val="nil"/>
            </w:tcBorders>
            <w:shd w:val="clear" w:color="auto" w:fill="auto"/>
            <w:noWrap/>
            <w:vAlign w:val="center"/>
            <w:hideMark/>
          </w:tcPr>
          <w:p w14:paraId="69A3D052" w14:textId="77777777" w:rsidR="0055257C" w:rsidRPr="00920CAD" w:rsidRDefault="0055257C" w:rsidP="0055257C">
            <w:pPr>
              <w:widowControl/>
              <w:jc w:val="both"/>
              <w:rPr>
                <w:rFonts w:ascii="Arial" w:hAnsi="Arial" w:cs="Arial"/>
                <w:snapToGrid/>
                <w:szCs w:val="24"/>
              </w:rPr>
            </w:pPr>
            <w:r w:rsidRPr="00920CAD">
              <w:rPr>
                <w:rFonts w:ascii="Arial" w:hAnsi="Arial" w:cs="Arial"/>
                <w:snapToGrid/>
                <w:szCs w:val="24"/>
              </w:rPr>
              <w:t>Categorical Industrial User</w:t>
            </w:r>
          </w:p>
        </w:tc>
        <w:tc>
          <w:tcPr>
            <w:tcW w:w="1548" w:type="dxa"/>
            <w:tcBorders>
              <w:top w:val="nil"/>
              <w:left w:val="nil"/>
              <w:bottom w:val="nil"/>
              <w:right w:val="nil"/>
            </w:tcBorders>
            <w:shd w:val="clear" w:color="auto" w:fill="auto"/>
            <w:noWrap/>
            <w:hideMark/>
          </w:tcPr>
          <w:p w14:paraId="4C7BDA24" w14:textId="5226805D" w:rsidR="0055257C" w:rsidRPr="00920CAD" w:rsidRDefault="0055257C" w:rsidP="0055257C">
            <w:pPr>
              <w:jc w:val="right"/>
            </w:pPr>
            <w:r w:rsidRPr="00920CAD">
              <w:t>$4,375.00</w:t>
            </w:r>
          </w:p>
        </w:tc>
      </w:tr>
      <w:tr w:rsidR="00920CAD" w:rsidRPr="00920CAD" w14:paraId="022827CF" w14:textId="77777777" w:rsidTr="00C127CA">
        <w:trPr>
          <w:trHeight w:val="258"/>
        </w:trPr>
        <w:tc>
          <w:tcPr>
            <w:tcW w:w="7290" w:type="dxa"/>
            <w:tcBorders>
              <w:top w:val="nil"/>
              <w:left w:val="nil"/>
              <w:bottom w:val="nil"/>
              <w:right w:val="nil"/>
            </w:tcBorders>
            <w:shd w:val="clear" w:color="auto" w:fill="auto"/>
            <w:noWrap/>
            <w:vAlign w:val="center"/>
            <w:hideMark/>
          </w:tcPr>
          <w:p w14:paraId="4A120F16" w14:textId="77777777" w:rsidR="0055257C" w:rsidRPr="00920CAD" w:rsidRDefault="0055257C" w:rsidP="0055257C">
            <w:pPr>
              <w:widowControl/>
              <w:ind w:firstLineChars="300" w:firstLine="720"/>
              <w:rPr>
                <w:rFonts w:ascii="Arial" w:hAnsi="Arial" w:cs="Arial"/>
                <w:snapToGrid/>
                <w:szCs w:val="24"/>
              </w:rPr>
            </w:pPr>
            <w:r w:rsidRPr="00920CAD">
              <w:rPr>
                <w:rFonts w:ascii="Arial" w:hAnsi="Arial" w:cs="Arial"/>
                <w:snapToGrid/>
                <w:szCs w:val="24"/>
              </w:rPr>
              <w:t>with Combined Waste Stream Formula, add</w:t>
            </w:r>
          </w:p>
        </w:tc>
        <w:tc>
          <w:tcPr>
            <w:tcW w:w="1548" w:type="dxa"/>
            <w:tcBorders>
              <w:top w:val="nil"/>
              <w:left w:val="nil"/>
              <w:bottom w:val="nil"/>
              <w:right w:val="nil"/>
            </w:tcBorders>
            <w:shd w:val="clear" w:color="auto" w:fill="auto"/>
            <w:noWrap/>
            <w:hideMark/>
          </w:tcPr>
          <w:p w14:paraId="31D98DF8" w14:textId="5A5F1192" w:rsidR="0055257C" w:rsidRPr="00920CAD" w:rsidRDefault="0055257C" w:rsidP="0055257C">
            <w:pPr>
              <w:jc w:val="right"/>
            </w:pPr>
            <w:r w:rsidRPr="00920CAD">
              <w:t>$1,063.00</w:t>
            </w:r>
          </w:p>
        </w:tc>
      </w:tr>
      <w:tr w:rsidR="00920CAD" w:rsidRPr="00920CAD" w14:paraId="1B7DE218" w14:textId="77777777" w:rsidTr="00C127CA">
        <w:trPr>
          <w:trHeight w:val="258"/>
        </w:trPr>
        <w:tc>
          <w:tcPr>
            <w:tcW w:w="7290" w:type="dxa"/>
            <w:tcBorders>
              <w:top w:val="nil"/>
              <w:left w:val="nil"/>
              <w:bottom w:val="nil"/>
              <w:right w:val="nil"/>
            </w:tcBorders>
            <w:shd w:val="clear" w:color="auto" w:fill="auto"/>
            <w:noWrap/>
            <w:vAlign w:val="center"/>
            <w:hideMark/>
          </w:tcPr>
          <w:p w14:paraId="598BD2F7" w14:textId="77777777" w:rsidR="0055257C" w:rsidRPr="00920CAD" w:rsidRDefault="0055257C" w:rsidP="0055257C">
            <w:pPr>
              <w:widowControl/>
              <w:ind w:firstLineChars="300" w:firstLine="720"/>
              <w:rPr>
                <w:rFonts w:ascii="Arial" w:hAnsi="Arial" w:cs="Arial"/>
                <w:snapToGrid/>
                <w:szCs w:val="24"/>
              </w:rPr>
            </w:pPr>
            <w:r w:rsidRPr="00920CAD">
              <w:rPr>
                <w:rFonts w:ascii="Arial" w:hAnsi="Arial" w:cs="Arial"/>
                <w:snapToGrid/>
                <w:szCs w:val="24"/>
              </w:rPr>
              <w:t>with Production Based Standards, add</w:t>
            </w:r>
          </w:p>
        </w:tc>
        <w:tc>
          <w:tcPr>
            <w:tcW w:w="1548" w:type="dxa"/>
            <w:tcBorders>
              <w:top w:val="nil"/>
              <w:left w:val="nil"/>
              <w:bottom w:val="nil"/>
              <w:right w:val="nil"/>
            </w:tcBorders>
            <w:shd w:val="clear" w:color="auto" w:fill="auto"/>
            <w:noWrap/>
            <w:hideMark/>
          </w:tcPr>
          <w:p w14:paraId="6429325C" w14:textId="753CCA81" w:rsidR="0055257C" w:rsidRPr="00920CAD" w:rsidRDefault="0055257C" w:rsidP="0055257C">
            <w:pPr>
              <w:jc w:val="right"/>
            </w:pPr>
            <w:r w:rsidRPr="00920CAD">
              <w:t>$563.00</w:t>
            </w:r>
          </w:p>
        </w:tc>
      </w:tr>
      <w:tr w:rsidR="00920CAD" w:rsidRPr="00920CAD" w14:paraId="0F16AE48" w14:textId="77777777" w:rsidTr="00C127CA">
        <w:trPr>
          <w:trHeight w:val="258"/>
        </w:trPr>
        <w:tc>
          <w:tcPr>
            <w:tcW w:w="7290" w:type="dxa"/>
            <w:tcBorders>
              <w:top w:val="nil"/>
              <w:left w:val="nil"/>
              <w:bottom w:val="nil"/>
              <w:right w:val="nil"/>
            </w:tcBorders>
            <w:shd w:val="clear" w:color="auto" w:fill="auto"/>
            <w:noWrap/>
            <w:vAlign w:val="center"/>
            <w:hideMark/>
          </w:tcPr>
          <w:p w14:paraId="4757710F" w14:textId="77777777" w:rsidR="0055257C" w:rsidRPr="00920CAD" w:rsidRDefault="0055257C" w:rsidP="0055257C">
            <w:pPr>
              <w:widowControl/>
              <w:ind w:firstLineChars="300" w:firstLine="720"/>
              <w:rPr>
                <w:rFonts w:ascii="Arial" w:hAnsi="Arial" w:cs="Arial"/>
                <w:snapToGrid/>
                <w:szCs w:val="24"/>
              </w:rPr>
            </w:pPr>
            <w:r w:rsidRPr="00920CAD">
              <w:rPr>
                <w:rFonts w:ascii="Arial" w:hAnsi="Arial" w:cs="Arial"/>
                <w:snapToGrid/>
                <w:szCs w:val="24"/>
              </w:rPr>
              <w:t>with Multiple Categories, add</w:t>
            </w:r>
          </w:p>
        </w:tc>
        <w:tc>
          <w:tcPr>
            <w:tcW w:w="1548" w:type="dxa"/>
            <w:tcBorders>
              <w:top w:val="nil"/>
              <w:left w:val="nil"/>
              <w:bottom w:val="nil"/>
              <w:right w:val="nil"/>
            </w:tcBorders>
            <w:shd w:val="clear" w:color="auto" w:fill="auto"/>
            <w:noWrap/>
            <w:hideMark/>
          </w:tcPr>
          <w:p w14:paraId="00992B16" w14:textId="67570CC4" w:rsidR="0055257C" w:rsidRPr="00920CAD" w:rsidRDefault="0055257C" w:rsidP="0055257C">
            <w:pPr>
              <w:jc w:val="right"/>
            </w:pPr>
            <w:r w:rsidRPr="00920CAD">
              <w:t>$2,125.00</w:t>
            </w:r>
          </w:p>
        </w:tc>
      </w:tr>
      <w:tr w:rsidR="00920CAD" w:rsidRPr="00920CAD" w14:paraId="43F36AEA" w14:textId="77777777" w:rsidTr="00C127CA">
        <w:trPr>
          <w:trHeight w:val="258"/>
        </w:trPr>
        <w:tc>
          <w:tcPr>
            <w:tcW w:w="7290" w:type="dxa"/>
            <w:tcBorders>
              <w:top w:val="nil"/>
              <w:left w:val="nil"/>
              <w:bottom w:val="nil"/>
              <w:right w:val="nil"/>
            </w:tcBorders>
            <w:shd w:val="clear" w:color="auto" w:fill="auto"/>
            <w:noWrap/>
            <w:vAlign w:val="center"/>
            <w:hideMark/>
          </w:tcPr>
          <w:p w14:paraId="7428B7FA" w14:textId="77777777" w:rsidR="0055257C" w:rsidRPr="00920CAD" w:rsidRDefault="0055257C" w:rsidP="0055257C">
            <w:pPr>
              <w:widowControl/>
              <w:jc w:val="both"/>
              <w:rPr>
                <w:rFonts w:ascii="Arial" w:hAnsi="Arial" w:cs="Arial"/>
                <w:snapToGrid/>
                <w:szCs w:val="24"/>
              </w:rPr>
            </w:pPr>
            <w:r w:rsidRPr="00920CAD">
              <w:rPr>
                <w:rFonts w:ascii="Arial" w:hAnsi="Arial" w:cs="Arial"/>
                <w:snapToGrid/>
                <w:szCs w:val="24"/>
              </w:rPr>
              <w:t>Non-Categorical, Significant Industrial User</w:t>
            </w:r>
          </w:p>
        </w:tc>
        <w:tc>
          <w:tcPr>
            <w:tcW w:w="1548" w:type="dxa"/>
            <w:tcBorders>
              <w:top w:val="nil"/>
              <w:left w:val="nil"/>
              <w:bottom w:val="nil"/>
              <w:right w:val="nil"/>
            </w:tcBorders>
            <w:shd w:val="clear" w:color="auto" w:fill="auto"/>
            <w:noWrap/>
            <w:hideMark/>
          </w:tcPr>
          <w:p w14:paraId="5926E386" w14:textId="1979F3E3" w:rsidR="0055257C" w:rsidRPr="00920CAD" w:rsidRDefault="0055257C" w:rsidP="0055257C">
            <w:pPr>
              <w:jc w:val="right"/>
            </w:pPr>
            <w:r w:rsidRPr="00920CAD">
              <w:t>$3,188.00</w:t>
            </w:r>
          </w:p>
        </w:tc>
      </w:tr>
      <w:tr w:rsidR="00920CAD" w:rsidRPr="00920CAD" w14:paraId="2753ADE0" w14:textId="77777777" w:rsidTr="00C127CA">
        <w:trPr>
          <w:trHeight w:val="258"/>
        </w:trPr>
        <w:tc>
          <w:tcPr>
            <w:tcW w:w="7290" w:type="dxa"/>
            <w:tcBorders>
              <w:top w:val="nil"/>
              <w:left w:val="nil"/>
              <w:bottom w:val="nil"/>
              <w:right w:val="nil"/>
            </w:tcBorders>
            <w:shd w:val="clear" w:color="auto" w:fill="auto"/>
            <w:noWrap/>
            <w:vAlign w:val="center"/>
            <w:hideMark/>
          </w:tcPr>
          <w:p w14:paraId="6C5967AD" w14:textId="77777777" w:rsidR="0055257C" w:rsidRPr="00920CAD" w:rsidRDefault="0055257C" w:rsidP="0055257C">
            <w:pPr>
              <w:widowControl/>
              <w:jc w:val="both"/>
              <w:rPr>
                <w:rFonts w:ascii="Arial" w:hAnsi="Arial" w:cs="Arial"/>
                <w:snapToGrid/>
                <w:szCs w:val="24"/>
              </w:rPr>
            </w:pPr>
            <w:r w:rsidRPr="00920CAD">
              <w:rPr>
                <w:rFonts w:ascii="Arial" w:hAnsi="Arial" w:cs="Arial"/>
                <w:snapToGrid/>
                <w:szCs w:val="24"/>
              </w:rPr>
              <w:t>Non-Categorical, Non-Significant Industrial User</w:t>
            </w:r>
          </w:p>
        </w:tc>
        <w:tc>
          <w:tcPr>
            <w:tcW w:w="1548" w:type="dxa"/>
            <w:tcBorders>
              <w:top w:val="nil"/>
              <w:left w:val="nil"/>
              <w:bottom w:val="nil"/>
              <w:right w:val="nil"/>
            </w:tcBorders>
            <w:shd w:val="clear" w:color="auto" w:fill="auto"/>
            <w:noWrap/>
            <w:hideMark/>
          </w:tcPr>
          <w:p w14:paraId="3CEB3B6E" w14:textId="408E5451" w:rsidR="0055257C" w:rsidRPr="00920CAD" w:rsidRDefault="0055257C" w:rsidP="0055257C">
            <w:pPr>
              <w:jc w:val="right"/>
            </w:pPr>
            <w:r w:rsidRPr="00920CAD">
              <w:t>$2,625.00</w:t>
            </w:r>
          </w:p>
        </w:tc>
      </w:tr>
      <w:tr w:rsidR="00920CAD" w:rsidRPr="00920CAD" w14:paraId="6C4F5D8E" w14:textId="77777777" w:rsidTr="0015791A">
        <w:trPr>
          <w:trHeight w:val="258"/>
        </w:trPr>
        <w:tc>
          <w:tcPr>
            <w:tcW w:w="7290" w:type="dxa"/>
            <w:tcBorders>
              <w:top w:val="nil"/>
              <w:left w:val="nil"/>
              <w:bottom w:val="nil"/>
              <w:right w:val="nil"/>
            </w:tcBorders>
            <w:shd w:val="clear" w:color="auto" w:fill="auto"/>
            <w:noWrap/>
            <w:vAlign w:val="center"/>
            <w:hideMark/>
          </w:tcPr>
          <w:p w14:paraId="21A4FD6C" w14:textId="77777777" w:rsidR="00265635" w:rsidRPr="00920CAD" w:rsidRDefault="00265635" w:rsidP="00265635">
            <w:pPr>
              <w:widowControl/>
              <w:jc w:val="both"/>
              <w:rPr>
                <w:rFonts w:ascii="Arial" w:hAnsi="Arial" w:cs="Arial"/>
                <w:snapToGrid/>
                <w:szCs w:val="24"/>
              </w:rPr>
            </w:pPr>
          </w:p>
          <w:p w14:paraId="504225B8" w14:textId="02F59014" w:rsidR="00652DFD" w:rsidRPr="00920CAD" w:rsidRDefault="00652DFD" w:rsidP="00265635">
            <w:pPr>
              <w:widowControl/>
              <w:jc w:val="both"/>
              <w:rPr>
                <w:rFonts w:ascii="Arial" w:hAnsi="Arial" w:cs="Arial"/>
                <w:snapToGrid/>
                <w:szCs w:val="24"/>
              </w:rPr>
            </w:pPr>
          </w:p>
        </w:tc>
        <w:tc>
          <w:tcPr>
            <w:tcW w:w="1548" w:type="dxa"/>
            <w:tcBorders>
              <w:top w:val="nil"/>
              <w:left w:val="nil"/>
              <w:bottom w:val="nil"/>
              <w:right w:val="nil"/>
            </w:tcBorders>
            <w:shd w:val="clear" w:color="auto" w:fill="auto"/>
            <w:noWrap/>
            <w:vAlign w:val="center"/>
            <w:hideMark/>
          </w:tcPr>
          <w:p w14:paraId="14ADD84A" w14:textId="77777777" w:rsidR="00265635" w:rsidRPr="00920CAD" w:rsidRDefault="00265635" w:rsidP="00265635">
            <w:pPr>
              <w:widowControl/>
              <w:rPr>
                <w:rFonts w:ascii="Arial" w:hAnsi="Arial" w:cs="Arial"/>
                <w:snapToGrid/>
                <w:szCs w:val="24"/>
              </w:rPr>
            </w:pPr>
          </w:p>
        </w:tc>
      </w:tr>
      <w:tr w:rsidR="00920CAD" w:rsidRPr="00920CAD" w14:paraId="0E9E00E0" w14:textId="77777777" w:rsidTr="0015791A">
        <w:trPr>
          <w:trHeight w:val="258"/>
        </w:trPr>
        <w:tc>
          <w:tcPr>
            <w:tcW w:w="7290" w:type="dxa"/>
            <w:tcBorders>
              <w:top w:val="nil"/>
              <w:left w:val="nil"/>
              <w:bottom w:val="nil"/>
              <w:right w:val="nil"/>
            </w:tcBorders>
            <w:shd w:val="clear" w:color="auto" w:fill="auto"/>
            <w:noWrap/>
            <w:vAlign w:val="center"/>
            <w:hideMark/>
          </w:tcPr>
          <w:p w14:paraId="3BC50626" w14:textId="77777777" w:rsidR="00265635" w:rsidRPr="00920CAD" w:rsidRDefault="00265635" w:rsidP="00265635">
            <w:pPr>
              <w:widowControl/>
              <w:rPr>
                <w:rFonts w:ascii="Arial" w:hAnsi="Arial" w:cs="Arial"/>
                <w:b/>
                <w:snapToGrid/>
                <w:szCs w:val="24"/>
              </w:rPr>
            </w:pPr>
            <w:r w:rsidRPr="00920CAD">
              <w:rPr>
                <w:rFonts w:ascii="Arial" w:hAnsi="Arial" w:cs="Arial"/>
                <w:b/>
                <w:snapToGrid/>
                <w:szCs w:val="24"/>
              </w:rPr>
              <w:lastRenderedPageBreak/>
              <w:t>Permit Renewal Fees:</w:t>
            </w:r>
          </w:p>
        </w:tc>
        <w:tc>
          <w:tcPr>
            <w:tcW w:w="1548" w:type="dxa"/>
            <w:tcBorders>
              <w:top w:val="nil"/>
              <w:left w:val="nil"/>
              <w:bottom w:val="nil"/>
              <w:right w:val="nil"/>
            </w:tcBorders>
            <w:shd w:val="clear" w:color="auto" w:fill="auto"/>
            <w:noWrap/>
            <w:vAlign w:val="center"/>
            <w:hideMark/>
          </w:tcPr>
          <w:p w14:paraId="1089B97F" w14:textId="77777777" w:rsidR="00265635" w:rsidRPr="00920CAD" w:rsidRDefault="00265635" w:rsidP="00265635">
            <w:pPr>
              <w:widowControl/>
              <w:rPr>
                <w:rFonts w:ascii="Arial" w:hAnsi="Arial" w:cs="Arial"/>
                <w:snapToGrid/>
                <w:szCs w:val="24"/>
              </w:rPr>
            </w:pPr>
          </w:p>
        </w:tc>
      </w:tr>
      <w:tr w:rsidR="00920CAD" w:rsidRPr="00920CAD" w14:paraId="7C5492AA" w14:textId="77777777" w:rsidTr="0015791A">
        <w:trPr>
          <w:trHeight w:val="258"/>
        </w:trPr>
        <w:tc>
          <w:tcPr>
            <w:tcW w:w="7290" w:type="dxa"/>
            <w:tcBorders>
              <w:top w:val="nil"/>
              <w:left w:val="nil"/>
              <w:bottom w:val="nil"/>
              <w:right w:val="nil"/>
            </w:tcBorders>
            <w:shd w:val="clear" w:color="auto" w:fill="auto"/>
            <w:noWrap/>
            <w:hideMark/>
          </w:tcPr>
          <w:p w14:paraId="5E944CA4" w14:textId="77777777" w:rsidR="00265635" w:rsidRPr="00920CAD" w:rsidRDefault="00265635" w:rsidP="00265635">
            <w:pPr>
              <w:widowControl/>
              <w:rPr>
                <w:rFonts w:ascii="Times New Roman" w:hAnsi="Times New Roman"/>
                <w:snapToGrid/>
                <w:szCs w:val="24"/>
              </w:rPr>
            </w:pPr>
          </w:p>
        </w:tc>
        <w:tc>
          <w:tcPr>
            <w:tcW w:w="1548" w:type="dxa"/>
            <w:tcBorders>
              <w:top w:val="nil"/>
              <w:left w:val="nil"/>
              <w:bottom w:val="nil"/>
              <w:right w:val="nil"/>
            </w:tcBorders>
            <w:shd w:val="clear" w:color="auto" w:fill="auto"/>
            <w:noWrap/>
            <w:vAlign w:val="center"/>
            <w:hideMark/>
          </w:tcPr>
          <w:p w14:paraId="7A4D236A" w14:textId="77777777" w:rsidR="00265635" w:rsidRPr="00920CAD" w:rsidRDefault="00265635" w:rsidP="00265635">
            <w:pPr>
              <w:widowControl/>
              <w:rPr>
                <w:rFonts w:ascii="Arial" w:hAnsi="Arial" w:cs="Arial"/>
                <w:snapToGrid/>
                <w:szCs w:val="24"/>
              </w:rPr>
            </w:pPr>
          </w:p>
        </w:tc>
      </w:tr>
      <w:tr w:rsidR="00920CAD" w:rsidRPr="00920CAD" w14:paraId="4D3042DB" w14:textId="77777777" w:rsidTr="009D29B2">
        <w:trPr>
          <w:trHeight w:val="258"/>
        </w:trPr>
        <w:tc>
          <w:tcPr>
            <w:tcW w:w="7290" w:type="dxa"/>
            <w:tcBorders>
              <w:top w:val="nil"/>
              <w:left w:val="nil"/>
              <w:bottom w:val="nil"/>
              <w:right w:val="nil"/>
            </w:tcBorders>
            <w:shd w:val="clear" w:color="auto" w:fill="auto"/>
            <w:noWrap/>
            <w:vAlign w:val="center"/>
            <w:hideMark/>
          </w:tcPr>
          <w:p w14:paraId="538B7905" w14:textId="77777777" w:rsidR="0055257C" w:rsidRPr="00920CAD" w:rsidRDefault="0055257C" w:rsidP="0055257C">
            <w:pPr>
              <w:widowControl/>
              <w:jc w:val="both"/>
              <w:rPr>
                <w:rFonts w:ascii="Arial" w:hAnsi="Arial" w:cs="Arial"/>
                <w:snapToGrid/>
                <w:szCs w:val="24"/>
              </w:rPr>
            </w:pPr>
            <w:r w:rsidRPr="00920CAD">
              <w:rPr>
                <w:rFonts w:ascii="Arial" w:hAnsi="Arial" w:cs="Arial"/>
                <w:snapToGrid/>
                <w:szCs w:val="24"/>
              </w:rPr>
              <w:t>Categorical Industrial User</w:t>
            </w:r>
          </w:p>
        </w:tc>
        <w:tc>
          <w:tcPr>
            <w:tcW w:w="1548" w:type="dxa"/>
            <w:tcBorders>
              <w:top w:val="nil"/>
              <w:left w:val="nil"/>
              <w:bottom w:val="nil"/>
              <w:right w:val="nil"/>
            </w:tcBorders>
            <w:shd w:val="clear" w:color="auto" w:fill="auto"/>
            <w:noWrap/>
            <w:hideMark/>
          </w:tcPr>
          <w:p w14:paraId="28AE98FF" w14:textId="5B1335CB" w:rsidR="0055257C" w:rsidRPr="00920CAD" w:rsidRDefault="0055257C" w:rsidP="0055257C">
            <w:pPr>
              <w:jc w:val="right"/>
            </w:pPr>
            <w:r w:rsidRPr="00920CAD">
              <w:t>$3,250.00</w:t>
            </w:r>
          </w:p>
        </w:tc>
      </w:tr>
      <w:tr w:rsidR="00920CAD" w:rsidRPr="00920CAD" w14:paraId="0DF076C7" w14:textId="77777777" w:rsidTr="009D29B2">
        <w:trPr>
          <w:trHeight w:val="258"/>
        </w:trPr>
        <w:tc>
          <w:tcPr>
            <w:tcW w:w="7290" w:type="dxa"/>
            <w:tcBorders>
              <w:top w:val="nil"/>
              <w:left w:val="nil"/>
              <w:bottom w:val="nil"/>
              <w:right w:val="nil"/>
            </w:tcBorders>
            <w:shd w:val="clear" w:color="auto" w:fill="auto"/>
            <w:noWrap/>
            <w:vAlign w:val="center"/>
            <w:hideMark/>
          </w:tcPr>
          <w:p w14:paraId="4F81ABB1" w14:textId="77777777" w:rsidR="0055257C" w:rsidRPr="00920CAD" w:rsidRDefault="0055257C" w:rsidP="0055257C">
            <w:pPr>
              <w:widowControl/>
              <w:ind w:firstLineChars="300" w:firstLine="720"/>
              <w:rPr>
                <w:rFonts w:ascii="Arial" w:hAnsi="Arial" w:cs="Arial"/>
                <w:snapToGrid/>
                <w:szCs w:val="24"/>
              </w:rPr>
            </w:pPr>
            <w:r w:rsidRPr="00920CAD">
              <w:rPr>
                <w:rFonts w:ascii="Arial" w:hAnsi="Arial" w:cs="Arial"/>
                <w:snapToGrid/>
                <w:szCs w:val="24"/>
              </w:rPr>
              <w:t>with Combined Waste Stream Formula, add</w:t>
            </w:r>
          </w:p>
        </w:tc>
        <w:tc>
          <w:tcPr>
            <w:tcW w:w="1548" w:type="dxa"/>
            <w:tcBorders>
              <w:top w:val="nil"/>
              <w:left w:val="nil"/>
              <w:bottom w:val="nil"/>
              <w:right w:val="nil"/>
            </w:tcBorders>
            <w:shd w:val="clear" w:color="auto" w:fill="auto"/>
            <w:noWrap/>
            <w:hideMark/>
          </w:tcPr>
          <w:p w14:paraId="3CA480DD" w14:textId="2587C98A" w:rsidR="0055257C" w:rsidRPr="00920CAD" w:rsidRDefault="0055257C" w:rsidP="0055257C">
            <w:pPr>
              <w:jc w:val="right"/>
            </w:pPr>
            <w:r w:rsidRPr="00920CAD">
              <w:t>$563.00</w:t>
            </w:r>
          </w:p>
        </w:tc>
      </w:tr>
      <w:tr w:rsidR="00920CAD" w:rsidRPr="00920CAD" w14:paraId="40BAF093" w14:textId="77777777" w:rsidTr="009D29B2">
        <w:trPr>
          <w:trHeight w:val="258"/>
        </w:trPr>
        <w:tc>
          <w:tcPr>
            <w:tcW w:w="7290" w:type="dxa"/>
            <w:tcBorders>
              <w:top w:val="nil"/>
              <w:left w:val="nil"/>
              <w:bottom w:val="nil"/>
              <w:right w:val="nil"/>
            </w:tcBorders>
            <w:shd w:val="clear" w:color="auto" w:fill="auto"/>
            <w:noWrap/>
            <w:vAlign w:val="center"/>
            <w:hideMark/>
          </w:tcPr>
          <w:p w14:paraId="5D0977A0" w14:textId="77777777" w:rsidR="0055257C" w:rsidRPr="00920CAD" w:rsidRDefault="0055257C" w:rsidP="0055257C">
            <w:pPr>
              <w:widowControl/>
              <w:ind w:firstLineChars="300" w:firstLine="720"/>
              <w:rPr>
                <w:rFonts w:ascii="Arial" w:hAnsi="Arial" w:cs="Arial"/>
                <w:snapToGrid/>
                <w:szCs w:val="24"/>
              </w:rPr>
            </w:pPr>
            <w:r w:rsidRPr="00920CAD">
              <w:rPr>
                <w:rFonts w:ascii="Arial" w:hAnsi="Arial" w:cs="Arial"/>
                <w:snapToGrid/>
                <w:szCs w:val="24"/>
              </w:rPr>
              <w:t>with Production Based Standards, add</w:t>
            </w:r>
          </w:p>
        </w:tc>
        <w:tc>
          <w:tcPr>
            <w:tcW w:w="1548" w:type="dxa"/>
            <w:tcBorders>
              <w:top w:val="nil"/>
              <w:left w:val="nil"/>
              <w:bottom w:val="nil"/>
              <w:right w:val="nil"/>
            </w:tcBorders>
            <w:shd w:val="clear" w:color="auto" w:fill="auto"/>
            <w:noWrap/>
            <w:hideMark/>
          </w:tcPr>
          <w:p w14:paraId="4F3F0BF7" w14:textId="1C1BD8C6" w:rsidR="0055257C" w:rsidRPr="00920CAD" w:rsidRDefault="0055257C" w:rsidP="0055257C">
            <w:pPr>
              <w:jc w:val="right"/>
            </w:pPr>
            <w:r w:rsidRPr="00920CAD">
              <w:t>$313.00</w:t>
            </w:r>
          </w:p>
        </w:tc>
      </w:tr>
      <w:tr w:rsidR="00920CAD" w:rsidRPr="00920CAD" w14:paraId="2B134098" w14:textId="77777777" w:rsidTr="009D29B2">
        <w:trPr>
          <w:trHeight w:val="258"/>
        </w:trPr>
        <w:tc>
          <w:tcPr>
            <w:tcW w:w="7290" w:type="dxa"/>
            <w:tcBorders>
              <w:top w:val="nil"/>
              <w:left w:val="nil"/>
              <w:bottom w:val="nil"/>
              <w:right w:val="nil"/>
            </w:tcBorders>
            <w:shd w:val="clear" w:color="auto" w:fill="auto"/>
            <w:noWrap/>
            <w:vAlign w:val="center"/>
            <w:hideMark/>
          </w:tcPr>
          <w:p w14:paraId="5EAC1C2E" w14:textId="77777777" w:rsidR="0055257C" w:rsidRPr="00920CAD" w:rsidRDefault="0055257C" w:rsidP="0055257C">
            <w:pPr>
              <w:widowControl/>
              <w:ind w:firstLineChars="300" w:firstLine="720"/>
              <w:rPr>
                <w:rFonts w:ascii="Arial" w:hAnsi="Arial" w:cs="Arial"/>
                <w:snapToGrid/>
                <w:szCs w:val="24"/>
              </w:rPr>
            </w:pPr>
            <w:r w:rsidRPr="00920CAD">
              <w:rPr>
                <w:rFonts w:ascii="Arial" w:hAnsi="Arial" w:cs="Arial"/>
                <w:snapToGrid/>
                <w:szCs w:val="24"/>
              </w:rPr>
              <w:t>with Multiple Categories, add</w:t>
            </w:r>
          </w:p>
        </w:tc>
        <w:tc>
          <w:tcPr>
            <w:tcW w:w="1548" w:type="dxa"/>
            <w:tcBorders>
              <w:top w:val="nil"/>
              <w:left w:val="nil"/>
              <w:bottom w:val="nil"/>
              <w:right w:val="nil"/>
            </w:tcBorders>
            <w:shd w:val="clear" w:color="auto" w:fill="auto"/>
            <w:noWrap/>
            <w:hideMark/>
          </w:tcPr>
          <w:p w14:paraId="0BC1F651" w14:textId="0C9BFAB2" w:rsidR="0055257C" w:rsidRPr="00920CAD" w:rsidRDefault="0055257C" w:rsidP="0055257C">
            <w:pPr>
              <w:jc w:val="right"/>
            </w:pPr>
            <w:r w:rsidRPr="00920CAD">
              <w:t>$1,063.00</w:t>
            </w:r>
          </w:p>
        </w:tc>
      </w:tr>
      <w:tr w:rsidR="00920CAD" w:rsidRPr="00920CAD" w14:paraId="1FC79BBF" w14:textId="77777777" w:rsidTr="009D29B2">
        <w:trPr>
          <w:trHeight w:val="258"/>
        </w:trPr>
        <w:tc>
          <w:tcPr>
            <w:tcW w:w="7290" w:type="dxa"/>
            <w:tcBorders>
              <w:top w:val="nil"/>
              <w:left w:val="nil"/>
              <w:bottom w:val="nil"/>
              <w:right w:val="nil"/>
            </w:tcBorders>
            <w:shd w:val="clear" w:color="auto" w:fill="auto"/>
            <w:noWrap/>
            <w:vAlign w:val="center"/>
            <w:hideMark/>
          </w:tcPr>
          <w:p w14:paraId="1CA1BF6B" w14:textId="77777777" w:rsidR="0055257C" w:rsidRPr="00920CAD" w:rsidRDefault="0055257C" w:rsidP="0055257C">
            <w:pPr>
              <w:widowControl/>
              <w:jc w:val="both"/>
              <w:rPr>
                <w:rFonts w:ascii="Arial" w:hAnsi="Arial" w:cs="Arial"/>
                <w:snapToGrid/>
                <w:szCs w:val="24"/>
              </w:rPr>
            </w:pPr>
            <w:r w:rsidRPr="00920CAD">
              <w:rPr>
                <w:rFonts w:ascii="Arial" w:hAnsi="Arial" w:cs="Arial"/>
                <w:snapToGrid/>
                <w:szCs w:val="24"/>
              </w:rPr>
              <w:t>Non-Categorical, Significant Industrial User</w:t>
            </w:r>
          </w:p>
        </w:tc>
        <w:tc>
          <w:tcPr>
            <w:tcW w:w="1548" w:type="dxa"/>
            <w:tcBorders>
              <w:top w:val="nil"/>
              <w:left w:val="nil"/>
              <w:bottom w:val="nil"/>
              <w:right w:val="nil"/>
            </w:tcBorders>
            <w:shd w:val="clear" w:color="auto" w:fill="auto"/>
            <w:noWrap/>
            <w:hideMark/>
          </w:tcPr>
          <w:p w14:paraId="04392831" w14:textId="67CE3C89" w:rsidR="0055257C" w:rsidRPr="00920CAD" w:rsidRDefault="0055257C" w:rsidP="0055257C">
            <w:pPr>
              <w:jc w:val="right"/>
            </w:pPr>
            <w:r w:rsidRPr="00920CAD">
              <w:t>$813.00</w:t>
            </w:r>
          </w:p>
        </w:tc>
      </w:tr>
      <w:tr w:rsidR="00920CAD" w:rsidRPr="00920CAD" w14:paraId="0C56FAE7" w14:textId="77777777" w:rsidTr="009D29B2">
        <w:trPr>
          <w:trHeight w:val="258"/>
        </w:trPr>
        <w:tc>
          <w:tcPr>
            <w:tcW w:w="7290" w:type="dxa"/>
            <w:tcBorders>
              <w:top w:val="nil"/>
              <w:left w:val="nil"/>
              <w:bottom w:val="nil"/>
              <w:right w:val="nil"/>
            </w:tcBorders>
            <w:shd w:val="clear" w:color="auto" w:fill="auto"/>
            <w:noWrap/>
            <w:vAlign w:val="center"/>
            <w:hideMark/>
          </w:tcPr>
          <w:p w14:paraId="47AEADDA" w14:textId="77777777" w:rsidR="0055257C" w:rsidRPr="00920CAD" w:rsidRDefault="0055257C" w:rsidP="0055257C">
            <w:pPr>
              <w:widowControl/>
              <w:jc w:val="both"/>
              <w:rPr>
                <w:rFonts w:ascii="Arial" w:hAnsi="Arial" w:cs="Arial"/>
                <w:snapToGrid/>
                <w:szCs w:val="24"/>
              </w:rPr>
            </w:pPr>
            <w:r w:rsidRPr="00920CAD">
              <w:rPr>
                <w:rFonts w:ascii="Arial" w:hAnsi="Arial" w:cs="Arial"/>
                <w:snapToGrid/>
                <w:szCs w:val="24"/>
              </w:rPr>
              <w:t>Non-Categorical, Non-Significant Industrial User</w:t>
            </w:r>
          </w:p>
        </w:tc>
        <w:tc>
          <w:tcPr>
            <w:tcW w:w="1548" w:type="dxa"/>
            <w:tcBorders>
              <w:top w:val="nil"/>
              <w:left w:val="nil"/>
              <w:bottom w:val="nil"/>
              <w:right w:val="nil"/>
            </w:tcBorders>
            <w:shd w:val="clear" w:color="auto" w:fill="auto"/>
            <w:noWrap/>
            <w:hideMark/>
          </w:tcPr>
          <w:p w14:paraId="13505845" w14:textId="771F0F13" w:rsidR="0055257C" w:rsidRPr="00920CAD" w:rsidRDefault="0055257C" w:rsidP="0055257C">
            <w:pPr>
              <w:jc w:val="right"/>
            </w:pPr>
            <w:r w:rsidRPr="00920CAD">
              <w:t>$563.00</w:t>
            </w:r>
          </w:p>
        </w:tc>
      </w:tr>
      <w:tr w:rsidR="00920CAD" w:rsidRPr="00920CAD" w14:paraId="5A05EBB5" w14:textId="77777777" w:rsidTr="0015791A">
        <w:trPr>
          <w:trHeight w:val="313"/>
        </w:trPr>
        <w:tc>
          <w:tcPr>
            <w:tcW w:w="7290" w:type="dxa"/>
            <w:tcBorders>
              <w:top w:val="nil"/>
              <w:left w:val="nil"/>
              <w:bottom w:val="nil"/>
              <w:right w:val="nil"/>
            </w:tcBorders>
            <w:shd w:val="clear" w:color="auto" w:fill="auto"/>
            <w:noWrap/>
            <w:vAlign w:val="bottom"/>
            <w:hideMark/>
          </w:tcPr>
          <w:p w14:paraId="7FE42D5B" w14:textId="77777777" w:rsidR="00265635" w:rsidRPr="00920CAD" w:rsidRDefault="00265635" w:rsidP="00265635">
            <w:pPr>
              <w:widowControl/>
              <w:rPr>
                <w:rFonts w:ascii="Arial" w:hAnsi="Arial" w:cs="Arial"/>
                <w:snapToGrid/>
                <w:szCs w:val="24"/>
              </w:rPr>
            </w:pPr>
          </w:p>
        </w:tc>
        <w:tc>
          <w:tcPr>
            <w:tcW w:w="1548" w:type="dxa"/>
            <w:tcBorders>
              <w:top w:val="nil"/>
              <w:left w:val="nil"/>
              <w:bottom w:val="nil"/>
              <w:right w:val="nil"/>
            </w:tcBorders>
            <w:shd w:val="clear" w:color="auto" w:fill="auto"/>
            <w:noWrap/>
            <w:vAlign w:val="bottom"/>
            <w:hideMark/>
          </w:tcPr>
          <w:p w14:paraId="6FACFA29" w14:textId="77777777" w:rsidR="00265635" w:rsidRPr="00920CAD" w:rsidRDefault="00265635" w:rsidP="00265635">
            <w:pPr>
              <w:widowControl/>
              <w:rPr>
                <w:rFonts w:ascii="Arial" w:hAnsi="Arial" w:cs="Arial"/>
                <w:snapToGrid/>
                <w:szCs w:val="24"/>
              </w:rPr>
            </w:pPr>
          </w:p>
        </w:tc>
      </w:tr>
      <w:tr w:rsidR="00920CAD" w:rsidRPr="00920CAD" w14:paraId="0FE86229" w14:textId="77777777" w:rsidTr="0015791A">
        <w:trPr>
          <w:trHeight w:val="369"/>
        </w:trPr>
        <w:tc>
          <w:tcPr>
            <w:tcW w:w="7290" w:type="dxa"/>
            <w:tcBorders>
              <w:top w:val="nil"/>
              <w:left w:val="nil"/>
              <w:bottom w:val="nil"/>
              <w:right w:val="nil"/>
            </w:tcBorders>
            <w:shd w:val="clear" w:color="auto" w:fill="auto"/>
            <w:noWrap/>
            <w:vAlign w:val="center"/>
            <w:hideMark/>
          </w:tcPr>
          <w:p w14:paraId="30305F7D" w14:textId="31B2717E" w:rsidR="00167E33" w:rsidRPr="00920CAD" w:rsidRDefault="00167E33" w:rsidP="00961004">
            <w:pPr>
              <w:widowControl/>
              <w:jc w:val="both"/>
              <w:rPr>
                <w:rFonts w:ascii="Arial" w:hAnsi="Arial" w:cs="Arial"/>
                <w:b/>
                <w:bCs/>
                <w:snapToGrid/>
                <w:szCs w:val="24"/>
                <w:u w:val="single"/>
              </w:rPr>
            </w:pPr>
            <w:r w:rsidRPr="00920CAD">
              <w:rPr>
                <w:rFonts w:ascii="Arial" w:hAnsi="Arial" w:cs="Arial"/>
                <w:b/>
                <w:bCs/>
                <w:snapToGrid/>
                <w:szCs w:val="24"/>
                <w:u w:val="single"/>
              </w:rPr>
              <w:t xml:space="preserve">Section </w:t>
            </w:r>
            <w:r w:rsidR="00BE142B" w:rsidRPr="00920CAD">
              <w:rPr>
                <w:rFonts w:ascii="Arial" w:hAnsi="Arial" w:cs="Arial"/>
                <w:b/>
                <w:bCs/>
                <w:snapToGrid/>
                <w:szCs w:val="24"/>
                <w:u w:val="single"/>
              </w:rPr>
              <w:t>7</w:t>
            </w:r>
            <w:r w:rsidR="00F625D3" w:rsidRPr="00920CAD">
              <w:rPr>
                <w:rFonts w:ascii="Arial" w:hAnsi="Arial" w:cs="Arial"/>
                <w:snapToGrid/>
                <w:szCs w:val="24"/>
              </w:rPr>
              <w:tab/>
            </w:r>
            <w:r w:rsidRPr="00920CAD">
              <w:rPr>
                <w:rFonts w:ascii="Arial" w:hAnsi="Arial" w:cs="Arial"/>
                <w:snapToGrid/>
                <w:szCs w:val="24"/>
              </w:rPr>
              <w:t>That Permit Revision or Facility Expansion fees shall be:</w:t>
            </w:r>
          </w:p>
        </w:tc>
        <w:tc>
          <w:tcPr>
            <w:tcW w:w="1548" w:type="dxa"/>
            <w:tcBorders>
              <w:top w:val="nil"/>
              <w:left w:val="nil"/>
              <w:bottom w:val="nil"/>
              <w:right w:val="nil"/>
            </w:tcBorders>
            <w:shd w:val="clear" w:color="auto" w:fill="auto"/>
            <w:noWrap/>
            <w:vAlign w:val="center"/>
            <w:hideMark/>
          </w:tcPr>
          <w:p w14:paraId="4ACC04FE" w14:textId="0BBF17A0" w:rsidR="00167E33" w:rsidRPr="00920CAD" w:rsidRDefault="0055257C" w:rsidP="00BC64FE">
            <w:pPr>
              <w:widowControl/>
              <w:jc w:val="right"/>
              <w:rPr>
                <w:rFonts w:ascii="Arial" w:hAnsi="Arial" w:cs="Arial"/>
                <w:snapToGrid/>
                <w:szCs w:val="24"/>
              </w:rPr>
            </w:pPr>
            <w:r w:rsidRPr="00920CAD">
              <w:rPr>
                <w:rFonts w:ascii="Arial" w:hAnsi="Arial" w:cs="Arial"/>
              </w:rPr>
              <w:t>$1,625.00</w:t>
            </w:r>
          </w:p>
        </w:tc>
      </w:tr>
      <w:tr w:rsidR="00920CAD" w:rsidRPr="00920CAD" w14:paraId="4F3DA51E" w14:textId="77777777" w:rsidTr="0015791A">
        <w:trPr>
          <w:trHeight w:val="258"/>
        </w:trPr>
        <w:tc>
          <w:tcPr>
            <w:tcW w:w="7290" w:type="dxa"/>
            <w:tcBorders>
              <w:top w:val="nil"/>
              <w:left w:val="nil"/>
              <w:bottom w:val="nil"/>
              <w:right w:val="nil"/>
            </w:tcBorders>
            <w:shd w:val="clear" w:color="auto" w:fill="auto"/>
            <w:noWrap/>
            <w:hideMark/>
          </w:tcPr>
          <w:p w14:paraId="610A8939" w14:textId="77777777" w:rsidR="00265635" w:rsidRPr="00920CAD" w:rsidRDefault="00265635" w:rsidP="00265635">
            <w:pPr>
              <w:widowControl/>
              <w:rPr>
                <w:rFonts w:ascii="Times New Roman" w:hAnsi="Times New Roman"/>
                <w:snapToGrid/>
                <w:szCs w:val="24"/>
              </w:rPr>
            </w:pPr>
          </w:p>
        </w:tc>
        <w:tc>
          <w:tcPr>
            <w:tcW w:w="1548" w:type="dxa"/>
            <w:tcBorders>
              <w:top w:val="nil"/>
              <w:left w:val="nil"/>
              <w:bottom w:val="nil"/>
              <w:right w:val="nil"/>
            </w:tcBorders>
            <w:shd w:val="clear" w:color="auto" w:fill="auto"/>
            <w:noWrap/>
            <w:vAlign w:val="center"/>
            <w:hideMark/>
          </w:tcPr>
          <w:p w14:paraId="6C3F30BD" w14:textId="77777777" w:rsidR="00265635" w:rsidRPr="00920CAD" w:rsidRDefault="00265635" w:rsidP="00265635">
            <w:pPr>
              <w:widowControl/>
              <w:rPr>
                <w:rFonts w:ascii="Arial" w:hAnsi="Arial" w:cs="Arial"/>
                <w:snapToGrid/>
                <w:szCs w:val="24"/>
              </w:rPr>
            </w:pPr>
          </w:p>
        </w:tc>
      </w:tr>
      <w:tr w:rsidR="00920CAD" w:rsidRPr="00920CAD" w14:paraId="59FA2533" w14:textId="77777777" w:rsidTr="0015791A">
        <w:trPr>
          <w:trHeight w:val="1807"/>
        </w:trPr>
        <w:tc>
          <w:tcPr>
            <w:tcW w:w="7290" w:type="dxa"/>
            <w:tcBorders>
              <w:top w:val="nil"/>
              <w:left w:val="nil"/>
              <w:bottom w:val="nil"/>
              <w:right w:val="nil"/>
            </w:tcBorders>
            <w:shd w:val="clear" w:color="auto" w:fill="auto"/>
            <w:noWrap/>
            <w:vAlign w:val="center"/>
            <w:hideMark/>
          </w:tcPr>
          <w:p w14:paraId="0AF43D74" w14:textId="77777777" w:rsidR="00167E33" w:rsidRPr="00920CAD" w:rsidRDefault="00167E33" w:rsidP="00BC64FE">
            <w:pPr>
              <w:widowControl/>
              <w:jc w:val="both"/>
              <w:rPr>
                <w:rFonts w:ascii="Arial" w:hAnsi="Arial" w:cs="Arial"/>
                <w:snapToGrid/>
                <w:szCs w:val="24"/>
              </w:rPr>
            </w:pPr>
            <w:r w:rsidRPr="00920CAD">
              <w:rPr>
                <w:rFonts w:ascii="Arial" w:hAnsi="Arial" w:cs="Arial"/>
                <w:snapToGrid/>
                <w:szCs w:val="24"/>
              </w:rPr>
              <w:t>Permit Revisions shall be required if the modification affects the quantity/quality of the wastewater discharge to deviate from the conditions in the current permit by more than 25%.  Such additions or modifications include, but are not limited to, the following:  Maintenance, Monitoring, Change of Discharge Limits, Addition of Control Equipment, Process Changes, etc.</w:t>
            </w:r>
          </w:p>
        </w:tc>
        <w:tc>
          <w:tcPr>
            <w:tcW w:w="1548" w:type="dxa"/>
            <w:tcBorders>
              <w:top w:val="nil"/>
              <w:left w:val="nil"/>
              <w:bottom w:val="nil"/>
              <w:right w:val="nil"/>
            </w:tcBorders>
            <w:shd w:val="clear" w:color="auto" w:fill="auto"/>
            <w:noWrap/>
            <w:vAlign w:val="center"/>
            <w:hideMark/>
          </w:tcPr>
          <w:p w14:paraId="56E63E8A" w14:textId="77777777" w:rsidR="00167E33" w:rsidRPr="00920CAD" w:rsidRDefault="00167E33" w:rsidP="00265635">
            <w:pPr>
              <w:widowControl/>
              <w:rPr>
                <w:rFonts w:ascii="Arial" w:hAnsi="Arial" w:cs="Arial"/>
                <w:snapToGrid/>
                <w:szCs w:val="24"/>
              </w:rPr>
            </w:pPr>
          </w:p>
        </w:tc>
      </w:tr>
      <w:tr w:rsidR="00920CAD" w:rsidRPr="00920CAD" w14:paraId="219E2866" w14:textId="77777777" w:rsidTr="0015791A">
        <w:trPr>
          <w:trHeight w:val="258"/>
        </w:trPr>
        <w:tc>
          <w:tcPr>
            <w:tcW w:w="7290" w:type="dxa"/>
            <w:tcBorders>
              <w:top w:val="nil"/>
              <w:left w:val="nil"/>
              <w:bottom w:val="nil"/>
              <w:right w:val="nil"/>
            </w:tcBorders>
            <w:shd w:val="clear" w:color="auto" w:fill="auto"/>
            <w:noWrap/>
            <w:vAlign w:val="bottom"/>
            <w:hideMark/>
          </w:tcPr>
          <w:p w14:paraId="6C71F309" w14:textId="77777777" w:rsidR="00265635" w:rsidRPr="00920CAD" w:rsidRDefault="00265635" w:rsidP="00265635">
            <w:pPr>
              <w:widowControl/>
              <w:rPr>
                <w:rFonts w:ascii="Arial" w:hAnsi="Arial" w:cs="Arial"/>
                <w:snapToGrid/>
                <w:szCs w:val="24"/>
              </w:rPr>
            </w:pPr>
          </w:p>
        </w:tc>
        <w:tc>
          <w:tcPr>
            <w:tcW w:w="1548" w:type="dxa"/>
            <w:tcBorders>
              <w:top w:val="nil"/>
              <w:left w:val="nil"/>
              <w:bottom w:val="nil"/>
              <w:right w:val="nil"/>
            </w:tcBorders>
            <w:shd w:val="clear" w:color="auto" w:fill="auto"/>
            <w:noWrap/>
            <w:vAlign w:val="center"/>
            <w:hideMark/>
          </w:tcPr>
          <w:p w14:paraId="6A85947B" w14:textId="77777777" w:rsidR="00265635" w:rsidRPr="00920CAD" w:rsidRDefault="00265635" w:rsidP="00265635">
            <w:pPr>
              <w:widowControl/>
              <w:rPr>
                <w:rFonts w:ascii="Arial" w:hAnsi="Arial" w:cs="Arial"/>
                <w:snapToGrid/>
                <w:szCs w:val="24"/>
              </w:rPr>
            </w:pPr>
          </w:p>
        </w:tc>
      </w:tr>
      <w:tr w:rsidR="00920CAD" w:rsidRPr="00920CAD" w14:paraId="5D62B5A5" w14:textId="77777777" w:rsidTr="006F22F6">
        <w:trPr>
          <w:trHeight w:val="313"/>
        </w:trPr>
        <w:tc>
          <w:tcPr>
            <w:tcW w:w="7290" w:type="dxa"/>
            <w:tcBorders>
              <w:top w:val="nil"/>
              <w:left w:val="nil"/>
              <w:bottom w:val="nil"/>
              <w:right w:val="nil"/>
            </w:tcBorders>
            <w:shd w:val="clear" w:color="auto" w:fill="auto"/>
            <w:noWrap/>
            <w:vAlign w:val="center"/>
            <w:hideMark/>
          </w:tcPr>
          <w:p w14:paraId="4B80923E" w14:textId="51A18890" w:rsidR="0055257C" w:rsidRPr="00920CAD" w:rsidRDefault="0055257C" w:rsidP="0055257C">
            <w:pPr>
              <w:widowControl/>
              <w:jc w:val="both"/>
              <w:rPr>
                <w:rFonts w:ascii="Arial" w:hAnsi="Arial" w:cs="Arial"/>
                <w:b/>
                <w:bCs/>
                <w:snapToGrid/>
                <w:szCs w:val="24"/>
                <w:u w:val="single"/>
              </w:rPr>
            </w:pPr>
            <w:r w:rsidRPr="00920CAD">
              <w:rPr>
                <w:rFonts w:ascii="Arial" w:hAnsi="Arial" w:cs="Arial"/>
                <w:b/>
                <w:bCs/>
                <w:snapToGrid/>
                <w:szCs w:val="24"/>
                <w:u w:val="single"/>
              </w:rPr>
              <w:t>Section 8</w:t>
            </w:r>
            <w:r w:rsidRPr="00920CAD">
              <w:rPr>
                <w:rFonts w:ascii="Arial" w:hAnsi="Arial" w:cs="Arial"/>
                <w:snapToGrid/>
                <w:szCs w:val="24"/>
              </w:rPr>
              <w:tab/>
              <w:t>That for change of business name with no process changes shall be:</w:t>
            </w:r>
          </w:p>
        </w:tc>
        <w:tc>
          <w:tcPr>
            <w:tcW w:w="1548" w:type="dxa"/>
            <w:tcBorders>
              <w:top w:val="nil"/>
              <w:left w:val="nil"/>
              <w:bottom w:val="nil"/>
              <w:right w:val="nil"/>
            </w:tcBorders>
            <w:shd w:val="clear" w:color="auto" w:fill="auto"/>
            <w:noWrap/>
            <w:hideMark/>
          </w:tcPr>
          <w:p w14:paraId="1E772F6A" w14:textId="294E91CB" w:rsidR="0055257C" w:rsidRPr="00920CAD" w:rsidRDefault="0055257C" w:rsidP="0055257C">
            <w:pPr>
              <w:jc w:val="right"/>
            </w:pPr>
            <w:r w:rsidRPr="00920CAD">
              <w:t>$250.00</w:t>
            </w:r>
          </w:p>
        </w:tc>
      </w:tr>
      <w:tr w:rsidR="00920CAD" w:rsidRPr="00920CAD" w14:paraId="02345ACB" w14:textId="77777777" w:rsidTr="006F22F6">
        <w:trPr>
          <w:trHeight w:val="258"/>
        </w:trPr>
        <w:tc>
          <w:tcPr>
            <w:tcW w:w="7290" w:type="dxa"/>
            <w:tcBorders>
              <w:top w:val="nil"/>
              <w:left w:val="nil"/>
              <w:bottom w:val="nil"/>
              <w:right w:val="nil"/>
            </w:tcBorders>
            <w:shd w:val="clear" w:color="auto" w:fill="auto"/>
            <w:noWrap/>
            <w:hideMark/>
          </w:tcPr>
          <w:p w14:paraId="2EDF675D" w14:textId="77777777" w:rsidR="0055257C" w:rsidRPr="00920CAD" w:rsidRDefault="0055257C" w:rsidP="0055257C">
            <w:pPr>
              <w:widowControl/>
              <w:rPr>
                <w:rFonts w:ascii="Times New Roman" w:hAnsi="Times New Roman"/>
                <w:snapToGrid/>
                <w:szCs w:val="24"/>
              </w:rPr>
            </w:pPr>
          </w:p>
        </w:tc>
        <w:tc>
          <w:tcPr>
            <w:tcW w:w="1548" w:type="dxa"/>
            <w:tcBorders>
              <w:top w:val="nil"/>
              <w:left w:val="nil"/>
              <w:bottom w:val="nil"/>
              <w:right w:val="nil"/>
            </w:tcBorders>
            <w:shd w:val="clear" w:color="auto" w:fill="auto"/>
            <w:noWrap/>
            <w:hideMark/>
          </w:tcPr>
          <w:p w14:paraId="4B8D2E41" w14:textId="77777777" w:rsidR="0055257C" w:rsidRPr="00920CAD" w:rsidRDefault="0055257C" w:rsidP="0055257C">
            <w:pPr>
              <w:jc w:val="right"/>
            </w:pPr>
          </w:p>
        </w:tc>
      </w:tr>
      <w:tr w:rsidR="00920CAD" w:rsidRPr="00920CAD" w14:paraId="4F6139F6" w14:textId="77777777" w:rsidTr="006F22F6">
        <w:trPr>
          <w:trHeight w:val="313"/>
        </w:trPr>
        <w:tc>
          <w:tcPr>
            <w:tcW w:w="7290" w:type="dxa"/>
            <w:tcBorders>
              <w:top w:val="nil"/>
              <w:left w:val="nil"/>
              <w:bottom w:val="nil"/>
              <w:right w:val="nil"/>
            </w:tcBorders>
            <w:shd w:val="clear" w:color="auto" w:fill="auto"/>
            <w:noWrap/>
            <w:hideMark/>
          </w:tcPr>
          <w:p w14:paraId="2D8BD5CB" w14:textId="73A60D36" w:rsidR="0055257C" w:rsidRPr="00920CAD" w:rsidRDefault="0055257C" w:rsidP="0055257C">
            <w:pPr>
              <w:widowControl/>
              <w:rPr>
                <w:rFonts w:ascii="Arial" w:hAnsi="Arial" w:cs="Arial"/>
                <w:snapToGrid/>
                <w:szCs w:val="24"/>
              </w:rPr>
            </w:pPr>
            <w:r w:rsidRPr="00920CAD">
              <w:rPr>
                <w:rFonts w:ascii="Arial" w:hAnsi="Arial" w:cs="Arial"/>
                <w:snapToGrid/>
                <w:szCs w:val="24"/>
              </w:rPr>
              <w:t>That Permit Addendum fees shall be:</w:t>
            </w:r>
          </w:p>
        </w:tc>
        <w:tc>
          <w:tcPr>
            <w:tcW w:w="1548" w:type="dxa"/>
            <w:tcBorders>
              <w:top w:val="nil"/>
              <w:left w:val="nil"/>
              <w:bottom w:val="nil"/>
              <w:right w:val="nil"/>
            </w:tcBorders>
            <w:shd w:val="clear" w:color="auto" w:fill="auto"/>
            <w:noWrap/>
            <w:hideMark/>
          </w:tcPr>
          <w:p w14:paraId="6895A17D" w14:textId="01669DBE" w:rsidR="0055257C" w:rsidRPr="00920CAD" w:rsidRDefault="0055257C" w:rsidP="0055257C">
            <w:pPr>
              <w:jc w:val="right"/>
            </w:pPr>
            <w:r w:rsidRPr="00920CAD">
              <w:t>$813.00</w:t>
            </w:r>
          </w:p>
        </w:tc>
      </w:tr>
      <w:tr w:rsidR="00920CAD" w:rsidRPr="00920CAD" w14:paraId="1812A252" w14:textId="77777777" w:rsidTr="00170710">
        <w:trPr>
          <w:trHeight w:val="258"/>
        </w:trPr>
        <w:tc>
          <w:tcPr>
            <w:tcW w:w="7290" w:type="dxa"/>
            <w:tcBorders>
              <w:top w:val="nil"/>
              <w:left w:val="nil"/>
              <w:bottom w:val="nil"/>
              <w:right w:val="nil"/>
            </w:tcBorders>
            <w:shd w:val="clear" w:color="auto" w:fill="auto"/>
            <w:noWrap/>
          </w:tcPr>
          <w:p w14:paraId="5FF96E61" w14:textId="5A703C44" w:rsidR="00170710" w:rsidRPr="00920CAD" w:rsidRDefault="00170710" w:rsidP="00170710">
            <w:pPr>
              <w:widowControl/>
              <w:rPr>
                <w:rFonts w:ascii="Times New Roman" w:hAnsi="Times New Roman"/>
                <w:snapToGrid/>
                <w:szCs w:val="24"/>
              </w:rPr>
            </w:pPr>
          </w:p>
        </w:tc>
        <w:tc>
          <w:tcPr>
            <w:tcW w:w="1548" w:type="dxa"/>
            <w:tcBorders>
              <w:top w:val="nil"/>
              <w:left w:val="nil"/>
              <w:bottom w:val="nil"/>
              <w:right w:val="nil"/>
            </w:tcBorders>
            <w:shd w:val="clear" w:color="auto" w:fill="auto"/>
            <w:noWrap/>
            <w:vAlign w:val="center"/>
          </w:tcPr>
          <w:p w14:paraId="7F0C5B2C" w14:textId="4094F492" w:rsidR="00170710" w:rsidRPr="00920CAD" w:rsidRDefault="00170710" w:rsidP="00170710">
            <w:pPr>
              <w:jc w:val="right"/>
              <w:rPr>
                <w:rFonts w:ascii="Arial" w:hAnsi="Arial" w:cs="Arial"/>
                <w:snapToGrid/>
                <w:szCs w:val="24"/>
              </w:rPr>
            </w:pPr>
          </w:p>
        </w:tc>
      </w:tr>
      <w:tr w:rsidR="00920CAD" w:rsidRPr="00920CAD" w14:paraId="73E47623" w14:textId="77777777" w:rsidTr="0015791A">
        <w:trPr>
          <w:trHeight w:val="1563"/>
        </w:trPr>
        <w:tc>
          <w:tcPr>
            <w:tcW w:w="7290" w:type="dxa"/>
            <w:tcBorders>
              <w:top w:val="nil"/>
              <w:left w:val="nil"/>
              <w:bottom w:val="nil"/>
              <w:right w:val="nil"/>
            </w:tcBorders>
            <w:shd w:val="clear" w:color="auto" w:fill="auto"/>
            <w:noWrap/>
            <w:vAlign w:val="center"/>
            <w:hideMark/>
          </w:tcPr>
          <w:p w14:paraId="1DE9D6AB" w14:textId="77777777" w:rsidR="00170710" w:rsidRPr="00920CAD" w:rsidRDefault="00170710" w:rsidP="00170710">
            <w:pPr>
              <w:widowControl/>
              <w:jc w:val="both"/>
              <w:rPr>
                <w:rFonts w:ascii="Arial" w:hAnsi="Arial" w:cs="Arial"/>
                <w:snapToGrid/>
                <w:szCs w:val="24"/>
              </w:rPr>
            </w:pPr>
            <w:r w:rsidRPr="00920CAD">
              <w:rPr>
                <w:rFonts w:ascii="Arial" w:hAnsi="Arial" w:cs="Arial"/>
                <w:snapToGrid/>
                <w:szCs w:val="24"/>
              </w:rPr>
              <w:t>Permit Addendum shall be required if the addition or modification does not affect the existing wastewater quantity/quality by more than 25%.  Such additions or modifications include, but are not limited to, the following:  Maintenance, Monitoring, Change of Discharge Limits, Addition of Control Equipment, Ownership Change without Process Changes, etc.</w:t>
            </w:r>
          </w:p>
        </w:tc>
        <w:tc>
          <w:tcPr>
            <w:tcW w:w="1548" w:type="dxa"/>
            <w:tcBorders>
              <w:top w:val="nil"/>
              <w:left w:val="nil"/>
              <w:bottom w:val="nil"/>
              <w:right w:val="nil"/>
            </w:tcBorders>
            <w:shd w:val="clear" w:color="auto" w:fill="auto"/>
            <w:noWrap/>
            <w:vAlign w:val="center"/>
            <w:hideMark/>
          </w:tcPr>
          <w:p w14:paraId="2EDD1E69" w14:textId="77777777" w:rsidR="00170710" w:rsidRPr="00920CAD" w:rsidRDefault="00170710" w:rsidP="00170710">
            <w:pPr>
              <w:widowControl/>
              <w:rPr>
                <w:rFonts w:ascii="Arial" w:hAnsi="Arial" w:cs="Arial"/>
                <w:snapToGrid/>
                <w:szCs w:val="24"/>
              </w:rPr>
            </w:pPr>
          </w:p>
        </w:tc>
      </w:tr>
      <w:tr w:rsidR="00920CAD" w:rsidRPr="00920CAD" w14:paraId="19F417B5" w14:textId="77777777" w:rsidTr="00526A27">
        <w:trPr>
          <w:trHeight w:val="216"/>
        </w:trPr>
        <w:tc>
          <w:tcPr>
            <w:tcW w:w="7290" w:type="dxa"/>
            <w:tcBorders>
              <w:top w:val="nil"/>
              <w:left w:val="nil"/>
              <w:bottom w:val="nil"/>
              <w:right w:val="nil"/>
            </w:tcBorders>
            <w:shd w:val="clear" w:color="auto" w:fill="auto"/>
            <w:noWrap/>
            <w:hideMark/>
          </w:tcPr>
          <w:p w14:paraId="1E950E4F" w14:textId="77777777" w:rsidR="00170710" w:rsidRPr="00920CAD" w:rsidRDefault="00170710" w:rsidP="00170710">
            <w:pPr>
              <w:widowControl/>
              <w:rPr>
                <w:rFonts w:ascii="Times New Roman" w:hAnsi="Times New Roman"/>
                <w:snapToGrid/>
                <w:szCs w:val="24"/>
              </w:rPr>
            </w:pPr>
          </w:p>
        </w:tc>
        <w:tc>
          <w:tcPr>
            <w:tcW w:w="1548" w:type="dxa"/>
            <w:tcBorders>
              <w:top w:val="nil"/>
              <w:left w:val="nil"/>
              <w:bottom w:val="nil"/>
              <w:right w:val="nil"/>
            </w:tcBorders>
            <w:shd w:val="clear" w:color="auto" w:fill="auto"/>
            <w:noWrap/>
            <w:vAlign w:val="center"/>
            <w:hideMark/>
          </w:tcPr>
          <w:p w14:paraId="5752AE43" w14:textId="77777777" w:rsidR="00170710" w:rsidRPr="00920CAD" w:rsidRDefault="00170710" w:rsidP="00170710">
            <w:pPr>
              <w:widowControl/>
              <w:rPr>
                <w:rFonts w:ascii="Arial" w:hAnsi="Arial" w:cs="Arial"/>
                <w:snapToGrid/>
                <w:szCs w:val="24"/>
              </w:rPr>
            </w:pPr>
          </w:p>
        </w:tc>
      </w:tr>
      <w:tr w:rsidR="00170710" w:rsidRPr="00920CAD" w14:paraId="5B7957CE" w14:textId="77777777" w:rsidTr="00526A27">
        <w:trPr>
          <w:trHeight w:val="216"/>
        </w:trPr>
        <w:tc>
          <w:tcPr>
            <w:tcW w:w="7290" w:type="dxa"/>
            <w:tcBorders>
              <w:top w:val="nil"/>
              <w:left w:val="nil"/>
              <w:bottom w:val="nil"/>
              <w:right w:val="nil"/>
            </w:tcBorders>
            <w:shd w:val="clear" w:color="auto" w:fill="auto"/>
            <w:noWrap/>
            <w:vAlign w:val="center"/>
            <w:hideMark/>
          </w:tcPr>
          <w:p w14:paraId="443E4CA7" w14:textId="44137D51" w:rsidR="00170710" w:rsidRPr="00920CAD" w:rsidRDefault="00170710" w:rsidP="00170710">
            <w:pPr>
              <w:widowControl/>
              <w:jc w:val="both"/>
              <w:rPr>
                <w:rFonts w:ascii="Arial" w:hAnsi="Arial" w:cs="Arial"/>
                <w:b/>
                <w:bCs/>
                <w:snapToGrid/>
                <w:szCs w:val="24"/>
                <w:u w:val="single"/>
              </w:rPr>
            </w:pPr>
            <w:r w:rsidRPr="00920CAD">
              <w:rPr>
                <w:rFonts w:ascii="Arial" w:hAnsi="Arial" w:cs="Arial"/>
                <w:b/>
                <w:bCs/>
                <w:snapToGrid/>
                <w:szCs w:val="24"/>
                <w:u w:val="single"/>
              </w:rPr>
              <w:t>Section 9</w:t>
            </w:r>
            <w:r w:rsidRPr="00920CAD">
              <w:rPr>
                <w:rFonts w:ascii="Arial" w:hAnsi="Arial" w:cs="Arial"/>
                <w:snapToGrid/>
                <w:szCs w:val="24"/>
              </w:rPr>
              <w:tab/>
              <w:t>Toxic Organic Management Plan (TOMP) Processing</w:t>
            </w:r>
          </w:p>
        </w:tc>
        <w:tc>
          <w:tcPr>
            <w:tcW w:w="1548" w:type="dxa"/>
            <w:tcBorders>
              <w:top w:val="nil"/>
              <w:left w:val="nil"/>
              <w:bottom w:val="nil"/>
              <w:right w:val="nil"/>
            </w:tcBorders>
            <w:shd w:val="clear" w:color="auto" w:fill="auto"/>
            <w:noWrap/>
            <w:vAlign w:val="center"/>
            <w:hideMark/>
          </w:tcPr>
          <w:p w14:paraId="250F6A9A" w14:textId="77777777" w:rsidR="00170710" w:rsidRPr="00920CAD" w:rsidRDefault="00170710" w:rsidP="00170710">
            <w:pPr>
              <w:widowControl/>
              <w:jc w:val="right"/>
              <w:rPr>
                <w:rFonts w:ascii="Arial" w:hAnsi="Arial" w:cs="Arial"/>
                <w:snapToGrid/>
                <w:szCs w:val="24"/>
              </w:rPr>
            </w:pPr>
            <w:r w:rsidRPr="00920CAD">
              <w:rPr>
                <w:rFonts w:ascii="Arial" w:hAnsi="Arial" w:cs="Arial"/>
                <w:snapToGrid/>
                <w:szCs w:val="24"/>
              </w:rPr>
              <w:t xml:space="preserve"> No Charge </w:t>
            </w:r>
          </w:p>
        </w:tc>
      </w:tr>
    </w:tbl>
    <w:p w14:paraId="592A6D13" w14:textId="77777777" w:rsidR="00265635" w:rsidRPr="00920CAD" w:rsidRDefault="00265635">
      <w:pPr>
        <w:ind w:left="2160" w:hanging="1440"/>
        <w:jc w:val="both"/>
        <w:rPr>
          <w:rFonts w:ascii="Arial" w:hAnsi="Arial" w:cs="Arial"/>
          <w:szCs w:val="24"/>
        </w:rPr>
      </w:pPr>
    </w:p>
    <w:p w14:paraId="4BA759AD" w14:textId="527B8D68" w:rsidR="00903D0B" w:rsidRPr="00920CAD" w:rsidRDefault="00903D0B" w:rsidP="00977B2D">
      <w:pPr>
        <w:tabs>
          <w:tab w:val="left" w:pos="-1440"/>
        </w:tabs>
        <w:ind w:left="810"/>
        <w:jc w:val="both"/>
        <w:rPr>
          <w:rFonts w:ascii="Arial" w:hAnsi="Arial" w:cs="Arial"/>
          <w:szCs w:val="24"/>
        </w:rPr>
      </w:pPr>
      <w:r w:rsidRPr="00920CAD">
        <w:rPr>
          <w:rFonts w:ascii="Arial" w:hAnsi="Arial" w:cs="Arial"/>
          <w:b/>
          <w:szCs w:val="24"/>
          <w:u w:val="single"/>
        </w:rPr>
        <w:t xml:space="preserve">Section </w:t>
      </w:r>
      <w:r w:rsidR="00BE142B" w:rsidRPr="00920CAD">
        <w:rPr>
          <w:rFonts w:ascii="Arial" w:hAnsi="Arial" w:cs="Arial"/>
          <w:b/>
          <w:szCs w:val="24"/>
          <w:u w:val="single"/>
        </w:rPr>
        <w:t>10</w:t>
      </w:r>
      <w:r w:rsidRPr="00920CAD">
        <w:rPr>
          <w:rFonts w:ascii="Arial" w:hAnsi="Arial" w:cs="Arial"/>
          <w:szCs w:val="24"/>
        </w:rPr>
        <w:tab/>
        <w:t>Miscellaneous processing fees that do not fall under any of the above sections shall be charged based on time and material of staff(s) evaluating such process using adopted labor rates for the current fiscal year.</w:t>
      </w:r>
    </w:p>
    <w:p w14:paraId="6E2831A3" w14:textId="77777777" w:rsidR="00903D0B" w:rsidRPr="00920CAD" w:rsidRDefault="00903D0B" w:rsidP="00977B2D">
      <w:pPr>
        <w:tabs>
          <w:tab w:val="left" w:pos="-1440"/>
        </w:tabs>
        <w:ind w:left="810"/>
        <w:jc w:val="both"/>
        <w:rPr>
          <w:rFonts w:ascii="Arial" w:hAnsi="Arial" w:cs="Arial"/>
          <w:b/>
          <w:szCs w:val="24"/>
          <w:u w:val="single"/>
        </w:rPr>
      </w:pPr>
    </w:p>
    <w:p w14:paraId="17053AB8" w14:textId="5CDC4D1A" w:rsidR="0016549D" w:rsidRPr="00920CAD" w:rsidRDefault="0016549D" w:rsidP="00977B2D">
      <w:pPr>
        <w:tabs>
          <w:tab w:val="left" w:pos="-1440"/>
        </w:tabs>
        <w:ind w:left="810"/>
        <w:jc w:val="both"/>
        <w:rPr>
          <w:rFonts w:ascii="Arial" w:hAnsi="Arial" w:cs="Arial"/>
          <w:szCs w:val="24"/>
        </w:rPr>
      </w:pPr>
      <w:r w:rsidRPr="00920CAD">
        <w:rPr>
          <w:rFonts w:ascii="Arial" w:hAnsi="Arial" w:cs="Arial"/>
          <w:b/>
          <w:szCs w:val="24"/>
          <w:u w:val="single"/>
        </w:rPr>
        <w:t xml:space="preserve">Section </w:t>
      </w:r>
      <w:r w:rsidR="002A6796" w:rsidRPr="00920CAD">
        <w:rPr>
          <w:rFonts w:ascii="Arial" w:hAnsi="Arial" w:cs="Arial"/>
          <w:b/>
          <w:szCs w:val="24"/>
          <w:u w:val="single"/>
        </w:rPr>
        <w:t>1</w:t>
      </w:r>
      <w:r w:rsidR="00BE142B" w:rsidRPr="00920CAD">
        <w:rPr>
          <w:rFonts w:ascii="Arial" w:hAnsi="Arial" w:cs="Arial"/>
          <w:b/>
          <w:szCs w:val="24"/>
          <w:u w:val="single"/>
        </w:rPr>
        <w:t>1</w:t>
      </w:r>
      <w:r w:rsidRPr="00920CAD">
        <w:rPr>
          <w:rFonts w:ascii="Arial" w:hAnsi="Arial" w:cs="Arial"/>
          <w:szCs w:val="24"/>
        </w:rPr>
        <w:tab/>
        <w:t>That all provisions of the Non-Reclaimable Wastewater Ordinance and any amendments thereto are hereby applicable and will remain in full force and effect.</w:t>
      </w:r>
    </w:p>
    <w:p w14:paraId="3EAA6C1A" w14:textId="77777777" w:rsidR="0016549D" w:rsidRPr="00920CAD" w:rsidRDefault="0016549D" w:rsidP="00977B2D">
      <w:pPr>
        <w:ind w:left="810"/>
        <w:jc w:val="both"/>
        <w:rPr>
          <w:rFonts w:ascii="Arial" w:hAnsi="Arial" w:cs="Arial"/>
          <w:szCs w:val="24"/>
          <w:u w:val="single"/>
        </w:rPr>
      </w:pPr>
    </w:p>
    <w:p w14:paraId="2B01F152" w14:textId="0583B2A3" w:rsidR="0016549D" w:rsidRPr="00920CAD" w:rsidRDefault="0016549D" w:rsidP="00977B2D">
      <w:pPr>
        <w:ind w:left="810"/>
        <w:jc w:val="both"/>
        <w:rPr>
          <w:rFonts w:ascii="Arial" w:hAnsi="Arial" w:cs="Arial"/>
          <w:szCs w:val="24"/>
        </w:rPr>
      </w:pPr>
      <w:r w:rsidRPr="00920CAD">
        <w:rPr>
          <w:rFonts w:ascii="Arial" w:hAnsi="Arial" w:cs="Arial"/>
          <w:b/>
          <w:szCs w:val="24"/>
          <w:u w:val="single"/>
        </w:rPr>
        <w:t xml:space="preserve">Section </w:t>
      </w:r>
      <w:r w:rsidR="002A6796" w:rsidRPr="00920CAD">
        <w:rPr>
          <w:rFonts w:ascii="Arial" w:hAnsi="Arial" w:cs="Arial"/>
          <w:b/>
          <w:szCs w:val="24"/>
          <w:u w:val="single"/>
        </w:rPr>
        <w:t>1</w:t>
      </w:r>
      <w:r w:rsidR="00BE142B" w:rsidRPr="00920CAD">
        <w:rPr>
          <w:rFonts w:ascii="Arial" w:hAnsi="Arial" w:cs="Arial"/>
          <w:b/>
          <w:szCs w:val="24"/>
          <w:u w:val="single"/>
        </w:rPr>
        <w:t>2</w:t>
      </w:r>
      <w:r w:rsidRPr="00920CAD">
        <w:rPr>
          <w:rFonts w:ascii="Arial" w:hAnsi="Arial" w:cs="Arial"/>
          <w:szCs w:val="24"/>
        </w:rPr>
        <w:tab/>
        <w:t>That upon the effective date of this Resolution, the Resolution No.</w:t>
      </w:r>
      <w:r w:rsidR="00F625D3" w:rsidRPr="00920CAD">
        <w:rPr>
          <w:rFonts w:ascii="Arial" w:hAnsi="Arial" w:cs="Arial"/>
          <w:szCs w:val="24"/>
        </w:rPr>
        <w:t xml:space="preserve"> </w:t>
      </w:r>
      <w:r w:rsidR="00ED1980" w:rsidRPr="00920CAD">
        <w:rPr>
          <w:rFonts w:ascii="Arial" w:hAnsi="Arial" w:cs="Arial"/>
          <w:szCs w:val="24"/>
        </w:rPr>
        <w:t>201</w:t>
      </w:r>
      <w:r w:rsidR="008F3158" w:rsidRPr="00920CAD">
        <w:rPr>
          <w:rFonts w:ascii="Arial" w:hAnsi="Arial" w:cs="Arial"/>
          <w:szCs w:val="24"/>
        </w:rPr>
        <w:t>8</w:t>
      </w:r>
      <w:r w:rsidR="00ED1980" w:rsidRPr="00920CAD">
        <w:rPr>
          <w:rFonts w:ascii="Arial" w:hAnsi="Arial" w:cs="Arial"/>
          <w:szCs w:val="24"/>
        </w:rPr>
        <w:t>-</w:t>
      </w:r>
      <w:r w:rsidR="00FE74A0" w:rsidRPr="00920CAD">
        <w:rPr>
          <w:rFonts w:ascii="Arial" w:hAnsi="Arial" w:cs="Arial"/>
          <w:szCs w:val="24"/>
        </w:rPr>
        <w:t>6</w:t>
      </w:r>
      <w:r w:rsidR="00ED1980" w:rsidRPr="00920CAD">
        <w:rPr>
          <w:rFonts w:ascii="Arial" w:hAnsi="Arial" w:cs="Arial"/>
          <w:szCs w:val="24"/>
        </w:rPr>
        <w:t>-</w:t>
      </w:r>
      <w:r w:rsidR="007A4DBC" w:rsidRPr="00920CAD">
        <w:rPr>
          <w:rFonts w:ascii="Arial" w:hAnsi="Arial" w:cs="Arial"/>
          <w:szCs w:val="24"/>
        </w:rPr>
        <w:t>3</w:t>
      </w:r>
      <w:r w:rsidRPr="00920CAD">
        <w:rPr>
          <w:rFonts w:ascii="Arial" w:hAnsi="Arial" w:cs="Arial"/>
          <w:szCs w:val="24"/>
        </w:rPr>
        <w:t xml:space="preserve"> </w:t>
      </w:r>
      <w:r w:rsidR="002A6796" w:rsidRPr="00920CAD">
        <w:rPr>
          <w:rFonts w:ascii="Arial" w:hAnsi="Arial" w:cs="Arial"/>
          <w:szCs w:val="24"/>
        </w:rPr>
        <w:t xml:space="preserve">pertaining to the NRWS </w:t>
      </w:r>
      <w:r w:rsidRPr="00920CAD">
        <w:rPr>
          <w:rFonts w:ascii="Arial" w:hAnsi="Arial" w:cs="Arial"/>
          <w:szCs w:val="24"/>
        </w:rPr>
        <w:t>is hereby rescinded in its entirety.</w:t>
      </w:r>
    </w:p>
    <w:p w14:paraId="1C403355" w14:textId="77777777" w:rsidR="00F625D3" w:rsidRPr="00920CAD" w:rsidRDefault="00F625D3" w:rsidP="00AA25A4">
      <w:pPr>
        <w:ind w:left="810"/>
        <w:jc w:val="center"/>
        <w:rPr>
          <w:rFonts w:ascii="Arial" w:hAnsi="Arial" w:cs="Arial"/>
          <w:szCs w:val="24"/>
        </w:rPr>
      </w:pPr>
    </w:p>
    <w:p w14:paraId="074FBD1B" w14:textId="77777777" w:rsidR="00205429" w:rsidRDefault="00205429" w:rsidP="00E4758C">
      <w:pPr>
        <w:tabs>
          <w:tab w:val="left" w:pos="-720"/>
          <w:tab w:val="left" w:pos="0"/>
          <w:tab w:val="left" w:pos="720"/>
        </w:tabs>
        <w:suppressAutoHyphens/>
        <w:jc w:val="both"/>
        <w:rPr>
          <w:rFonts w:ascii="Arial" w:hAnsi="Arial" w:cs="Arial"/>
          <w:spacing w:val="-3"/>
        </w:rPr>
      </w:pPr>
    </w:p>
    <w:p w14:paraId="1F2C8C75" w14:textId="4E6156E7" w:rsidR="009E0490" w:rsidRPr="00920CAD" w:rsidRDefault="00793D29" w:rsidP="00E4758C">
      <w:pPr>
        <w:tabs>
          <w:tab w:val="left" w:pos="-720"/>
          <w:tab w:val="left" w:pos="0"/>
          <w:tab w:val="left" w:pos="720"/>
        </w:tabs>
        <w:suppressAutoHyphens/>
        <w:jc w:val="both"/>
        <w:rPr>
          <w:rFonts w:ascii="Arial" w:hAnsi="Arial" w:cs="Arial"/>
          <w:spacing w:val="-3"/>
        </w:rPr>
      </w:pPr>
      <w:r w:rsidRPr="00920CAD">
        <w:rPr>
          <w:rFonts w:ascii="Arial" w:hAnsi="Arial" w:cs="Arial"/>
          <w:spacing w:val="-3"/>
        </w:rPr>
        <w:lastRenderedPageBreak/>
        <w:tab/>
      </w:r>
    </w:p>
    <w:p w14:paraId="7D1CF037" w14:textId="682392C5" w:rsidR="00E4758C" w:rsidRPr="00920CAD" w:rsidRDefault="00E4758C" w:rsidP="00E4758C">
      <w:pPr>
        <w:tabs>
          <w:tab w:val="left" w:pos="-720"/>
          <w:tab w:val="left" w:pos="0"/>
          <w:tab w:val="left" w:pos="720"/>
        </w:tabs>
        <w:suppressAutoHyphens/>
        <w:jc w:val="both"/>
        <w:rPr>
          <w:rFonts w:ascii="Arial" w:hAnsi="Arial" w:cs="Arial"/>
          <w:spacing w:val="-3"/>
          <w:u w:val="single"/>
        </w:rPr>
      </w:pPr>
      <w:r w:rsidRPr="00920CAD">
        <w:rPr>
          <w:rFonts w:ascii="Arial" w:hAnsi="Arial" w:cs="Arial"/>
          <w:spacing w:val="-3"/>
        </w:rPr>
        <w:t xml:space="preserve">ADOPTED this </w:t>
      </w:r>
      <w:r w:rsidR="00825487" w:rsidRPr="00920CAD">
        <w:rPr>
          <w:rFonts w:ascii="Arial" w:hAnsi="Arial" w:cs="Arial"/>
          <w:spacing w:val="-3"/>
        </w:rPr>
        <w:t>19</w:t>
      </w:r>
      <w:r w:rsidR="007A4DBC" w:rsidRPr="00920CAD">
        <w:rPr>
          <w:rFonts w:ascii="Arial" w:hAnsi="Arial" w:cs="Arial"/>
          <w:spacing w:val="-3"/>
          <w:vertAlign w:val="superscript"/>
        </w:rPr>
        <w:t>th</w:t>
      </w:r>
      <w:r w:rsidR="002C4C2E" w:rsidRPr="00920CAD">
        <w:rPr>
          <w:rFonts w:ascii="Arial" w:hAnsi="Arial" w:cs="Arial"/>
          <w:spacing w:val="-3"/>
        </w:rPr>
        <w:t xml:space="preserve"> </w:t>
      </w:r>
      <w:r w:rsidRPr="00920CAD">
        <w:rPr>
          <w:rFonts w:ascii="Arial" w:hAnsi="Arial" w:cs="Arial"/>
          <w:spacing w:val="-3"/>
        </w:rPr>
        <w:t xml:space="preserve">day of </w:t>
      </w:r>
      <w:r w:rsidR="002C4C2E" w:rsidRPr="00920CAD">
        <w:rPr>
          <w:rFonts w:ascii="Arial" w:hAnsi="Arial" w:cs="Arial"/>
          <w:spacing w:val="-3"/>
        </w:rPr>
        <w:t>June</w:t>
      </w:r>
      <w:r w:rsidR="00402DB6" w:rsidRPr="00920CAD">
        <w:rPr>
          <w:rFonts w:ascii="Arial" w:hAnsi="Arial" w:cs="Arial"/>
          <w:spacing w:val="-3"/>
        </w:rPr>
        <w:t xml:space="preserve"> </w:t>
      </w:r>
      <w:r w:rsidR="002C4C2E" w:rsidRPr="00920CAD">
        <w:rPr>
          <w:rFonts w:ascii="Arial" w:hAnsi="Arial" w:cs="Arial"/>
          <w:spacing w:val="-3"/>
        </w:rPr>
        <w:t>201</w:t>
      </w:r>
      <w:r w:rsidR="00101F49">
        <w:rPr>
          <w:rFonts w:ascii="Arial" w:hAnsi="Arial" w:cs="Arial"/>
          <w:spacing w:val="-3"/>
        </w:rPr>
        <w:t>9</w:t>
      </w:r>
      <w:r w:rsidR="00B553F0">
        <w:rPr>
          <w:rFonts w:ascii="Arial" w:hAnsi="Arial" w:cs="Arial"/>
          <w:spacing w:val="-3"/>
        </w:rPr>
        <w:t>.</w:t>
      </w:r>
      <w:bookmarkStart w:id="1" w:name="_GoBack"/>
      <w:bookmarkEnd w:id="1"/>
    </w:p>
    <w:p w14:paraId="5A387107" w14:textId="77777777" w:rsidR="00E4758C" w:rsidRPr="00920CAD" w:rsidRDefault="00E4758C" w:rsidP="00E4758C">
      <w:pPr>
        <w:tabs>
          <w:tab w:val="left" w:pos="-720"/>
        </w:tabs>
        <w:suppressAutoHyphens/>
        <w:ind w:left="5040"/>
        <w:jc w:val="both"/>
        <w:rPr>
          <w:rFonts w:ascii="Arial" w:hAnsi="Arial" w:cs="Arial"/>
          <w:spacing w:val="-3"/>
        </w:rPr>
      </w:pPr>
    </w:p>
    <w:p w14:paraId="42550DE8" w14:textId="77777777" w:rsidR="006058B7" w:rsidRPr="00920CAD" w:rsidRDefault="006058B7" w:rsidP="00E4758C">
      <w:pPr>
        <w:tabs>
          <w:tab w:val="left" w:pos="-720"/>
        </w:tabs>
        <w:suppressAutoHyphens/>
        <w:ind w:left="5040"/>
        <w:jc w:val="both"/>
        <w:rPr>
          <w:rFonts w:ascii="Arial" w:hAnsi="Arial" w:cs="Arial"/>
          <w:spacing w:val="-3"/>
        </w:rPr>
      </w:pPr>
    </w:p>
    <w:p w14:paraId="54035A7E" w14:textId="77777777" w:rsidR="006058B7" w:rsidRPr="00920CAD" w:rsidRDefault="006058B7" w:rsidP="00E4758C">
      <w:pPr>
        <w:tabs>
          <w:tab w:val="left" w:pos="-720"/>
        </w:tabs>
        <w:suppressAutoHyphens/>
        <w:ind w:left="5040"/>
        <w:jc w:val="both"/>
        <w:rPr>
          <w:rFonts w:ascii="Arial" w:hAnsi="Arial" w:cs="Arial"/>
          <w:spacing w:val="-3"/>
        </w:rPr>
      </w:pPr>
    </w:p>
    <w:p w14:paraId="1FB36C1E" w14:textId="298BF582" w:rsidR="00E4758C" w:rsidRPr="00920CAD" w:rsidRDefault="00E4758C" w:rsidP="00E4758C">
      <w:pPr>
        <w:tabs>
          <w:tab w:val="left" w:pos="-720"/>
        </w:tabs>
        <w:suppressAutoHyphens/>
        <w:ind w:left="5040"/>
        <w:jc w:val="both"/>
        <w:rPr>
          <w:rFonts w:ascii="Arial" w:hAnsi="Arial" w:cs="Arial"/>
          <w:spacing w:val="-3"/>
          <w:u w:val="single"/>
        </w:rPr>
      </w:pPr>
      <w:r w:rsidRPr="00920CAD">
        <w:rPr>
          <w:rFonts w:ascii="Arial" w:hAnsi="Arial" w:cs="Arial"/>
          <w:spacing w:val="-3"/>
          <w:u w:val="single"/>
        </w:rPr>
        <w:tab/>
      </w:r>
      <w:r w:rsidRPr="00920CAD">
        <w:rPr>
          <w:rFonts w:ascii="Arial" w:hAnsi="Arial" w:cs="Arial"/>
          <w:spacing w:val="-3"/>
          <w:u w:val="single"/>
        </w:rPr>
        <w:tab/>
      </w:r>
      <w:r w:rsidRPr="00920CAD">
        <w:rPr>
          <w:rFonts w:ascii="Arial" w:hAnsi="Arial" w:cs="Arial"/>
          <w:spacing w:val="-3"/>
          <w:u w:val="single"/>
        </w:rPr>
        <w:tab/>
      </w:r>
      <w:r w:rsidRPr="00920CAD">
        <w:rPr>
          <w:rFonts w:ascii="Arial" w:hAnsi="Arial" w:cs="Arial"/>
          <w:spacing w:val="-3"/>
          <w:u w:val="single"/>
        </w:rPr>
        <w:tab/>
      </w:r>
      <w:r w:rsidRPr="00920CAD">
        <w:rPr>
          <w:rFonts w:ascii="Arial" w:hAnsi="Arial" w:cs="Arial"/>
          <w:spacing w:val="-3"/>
          <w:u w:val="single"/>
        </w:rPr>
        <w:tab/>
      </w:r>
      <w:r w:rsidR="00B248C4" w:rsidRPr="00920CAD">
        <w:rPr>
          <w:rFonts w:ascii="Arial" w:hAnsi="Arial" w:cs="Arial"/>
          <w:spacing w:val="-3"/>
          <w:u w:val="single"/>
        </w:rPr>
        <w:tab/>
      </w:r>
    </w:p>
    <w:p w14:paraId="4147744B" w14:textId="1BC28DD8" w:rsidR="00E4758C" w:rsidRPr="00920CAD" w:rsidRDefault="00950DAC" w:rsidP="00E4758C">
      <w:pPr>
        <w:tabs>
          <w:tab w:val="left" w:pos="-720"/>
        </w:tabs>
        <w:suppressAutoHyphens/>
        <w:ind w:left="5040"/>
        <w:jc w:val="both"/>
        <w:rPr>
          <w:rFonts w:ascii="Arial" w:hAnsi="Arial" w:cs="Arial"/>
          <w:spacing w:val="-3"/>
        </w:rPr>
      </w:pPr>
      <w:r w:rsidRPr="00920CAD">
        <w:rPr>
          <w:rFonts w:ascii="Arial" w:hAnsi="Arial" w:cs="Arial"/>
          <w:spacing w:val="-3"/>
        </w:rPr>
        <w:t>Paul Hofer</w:t>
      </w:r>
    </w:p>
    <w:p w14:paraId="6D454054" w14:textId="77777777" w:rsidR="00E4758C" w:rsidRPr="00920CAD" w:rsidRDefault="00E4758C" w:rsidP="00E4758C">
      <w:pPr>
        <w:tabs>
          <w:tab w:val="left" w:pos="-720"/>
        </w:tabs>
        <w:suppressAutoHyphens/>
        <w:ind w:left="5040"/>
        <w:jc w:val="both"/>
        <w:rPr>
          <w:rFonts w:ascii="Arial" w:hAnsi="Arial" w:cs="Arial"/>
          <w:spacing w:val="-3"/>
        </w:rPr>
      </w:pPr>
      <w:r w:rsidRPr="00920CAD">
        <w:rPr>
          <w:rFonts w:ascii="Arial" w:hAnsi="Arial" w:cs="Arial"/>
          <w:spacing w:val="-3"/>
        </w:rPr>
        <w:t>President of the Inland Empire Utilities Agency* and of the Board of Directors thereof</w:t>
      </w:r>
    </w:p>
    <w:p w14:paraId="14C1C39D" w14:textId="77777777" w:rsidR="00E4758C" w:rsidRPr="00920CAD" w:rsidRDefault="00E4758C" w:rsidP="00E4758C">
      <w:pPr>
        <w:tabs>
          <w:tab w:val="left" w:pos="-720"/>
        </w:tabs>
        <w:suppressAutoHyphens/>
        <w:jc w:val="both"/>
        <w:rPr>
          <w:rFonts w:ascii="Arial" w:hAnsi="Arial" w:cs="Arial"/>
          <w:spacing w:val="-3"/>
        </w:rPr>
      </w:pPr>
    </w:p>
    <w:p w14:paraId="687A237E" w14:textId="77777777" w:rsidR="00E4758C" w:rsidRPr="00920CAD" w:rsidRDefault="00E4758C" w:rsidP="00E4758C">
      <w:pPr>
        <w:tabs>
          <w:tab w:val="left" w:pos="-720"/>
        </w:tabs>
        <w:suppressAutoHyphens/>
        <w:jc w:val="both"/>
        <w:rPr>
          <w:rFonts w:ascii="Arial" w:hAnsi="Arial" w:cs="Arial"/>
          <w:spacing w:val="-3"/>
        </w:rPr>
      </w:pPr>
    </w:p>
    <w:p w14:paraId="30B0813A" w14:textId="77777777" w:rsidR="00E4758C" w:rsidRPr="00920CAD" w:rsidRDefault="00E4758C" w:rsidP="00E4758C">
      <w:pPr>
        <w:tabs>
          <w:tab w:val="left" w:pos="-720"/>
        </w:tabs>
        <w:suppressAutoHyphens/>
        <w:jc w:val="both"/>
        <w:rPr>
          <w:rFonts w:ascii="Arial" w:hAnsi="Arial" w:cs="Arial"/>
          <w:spacing w:val="-3"/>
        </w:rPr>
      </w:pPr>
      <w:r w:rsidRPr="00920CAD">
        <w:rPr>
          <w:rFonts w:ascii="Arial" w:hAnsi="Arial" w:cs="Arial"/>
          <w:spacing w:val="-3"/>
        </w:rPr>
        <w:t>ATTEST:</w:t>
      </w:r>
    </w:p>
    <w:p w14:paraId="7E5A497C" w14:textId="77777777" w:rsidR="00E4758C" w:rsidRPr="00920CAD" w:rsidRDefault="00E4758C" w:rsidP="00E4758C">
      <w:pPr>
        <w:tabs>
          <w:tab w:val="left" w:pos="-720"/>
        </w:tabs>
        <w:suppressAutoHyphens/>
        <w:jc w:val="both"/>
        <w:rPr>
          <w:rFonts w:ascii="Arial" w:hAnsi="Arial" w:cs="Arial"/>
          <w:spacing w:val="-3"/>
        </w:rPr>
      </w:pPr>
    </w:p>
    <w:p w14:paraId="68C21BD2" w14:textId="77777777" w:rsidR="00E4758C" w:rsidRPr="00920CAD" w:rsidRDefault="00E4758C" w:rsidP="00E4758C">
      <w:pPr>
        <w:tabs>
          <w:tab w:val="left" w:pos="-720"/>
        </w:tabs>
        <w:suppressAutoHyphens/>
        <w:jc w:val="both"/>
        <w:rPr>
          <w:rFonts w:ascii="Arial" w:hAnsi="Arial" w:cs="Arial"/>
          <w:spacing w:val="-3"/>
        </w:rPr>
      </w:pPr>
    </w:p>
    <w:p w14:paraId="79B23834" w14:textId="77777777" w:rsidR="00E4758C" w:rsidRPr="00920CAD" w:rsidRDefault="00E4758C" w:rsidP="00E4758C">
      <w:pPr>
        <w:tabs>
          <w:tab w:val="left" w:pos="-720"/>
        </w:tabs>
        <w:suppressAutoHyphens/>
        <w:jc w:val="both"/>
        <w:rPr>
          <w:rFonts w:ascii="Arial" w:hAnsi="Arial" w:cs="Arial"/>
          <w:spacing w:val="-3"/>
        </w:rPr>
      </w:pPr>
      <w:r w:rsidRPr="00920CAD">
        <w:rPr>
          <w:rFonts w:ascii="Arial" w:hAnsi="Arial" w:cs="Arial"/>
          <w:spacing w:val="-3"/>
          <w:u w:val="single"/>
        </w:rPr>
        <w:tab/>
      </w:r>
      <w:r w:rsidRPr="00920CAD">
        <w:rPr>
          <w:rFonts w:ascii="Arial" w:hAnsi="Arial" w:cs="Arial"/>
          <w:spacing w:val="-3"/>
          <w:u w:val="single"/>
        </w:rPr>
        <w:tab/>
      </w:r>
      <w:r w:rsidRPr="00920CAD">
        <w:rPr>
          <w:rFonts w:ascii="Arial" w:hAnsi="Arial" w:cs="Arial"/>
          <w:spacing w:val="-3"/>
          <w:u w:val="single"/>
        </w:rPr>
        <w:tab/>
      </w:r>
      <w:r w:rsidRPr="00920CAD">
        <w:rPr>
          <w:rFonts w:ascii="Arial" w:hAnsi="Arial" w:cs="Arial"/>
          <w:spacing w:val="-3"/>
          <w:u w:val="single"/>
        </w:rPr>
        <w:tab/>
      </w:r>
      <w:r w:rsidRPr="00920CAD">
        <w:rPr>
          <w:rFonts w:ascii="Arial" w:hAnsi="Arial" w:cs="Arial"/>
          <w:spacing w:val="-3"/>
          <w:u w:val="single"/>
        </w:rPr>
        <w:tab/>
      </w:r>
      <w:r w:rsidRPr="00920CAD">
        <w:rPr>
          <w:rFonts w:ascii="Arial" w:hAnsi="Arial" w:cs="Arial"/>
          <w:spacing w:val="-3"/>
          <w:u w:val="single"/>
        </w:rPr>
        <w:tab/>
      </w:r>
    </w:p>
    <w:p w14:paraId="452318D4" w14:textId="71EF1DB9" w:rsidR="00D60854" w:rsidRPr="00920CAD" w:rsidRDefault="00950DAC" w:rsidP="00E4758C">
      <w:pPr>
        <w:jc w:val="both"/>
        <w:rPr>
          <w:rFonts w:ascii="Arial" w:hAnsi="Arial" w:cs="Arial"/>
          <w:spacing w:val="-3"/>
        </w:rPr>
      </w:pPr>
      <w:r w:rsidRPr="00920CAD">
        <w:rPr>
          <w:rFonts w:ascii="Arial" w:hAnsi="Arial" w:cs="Arial"/>
          <w:spacing w:val="-3"/>
        </w:rPr>
        <w:t>Kati Parker</w:t>
      </w:r>
    </w:p>
    <w:p w14:paraId="6E7C5341" w14:textId="77777777" w:rsidR="00E4758C" w:rsidRPr="00920CAD" w:rsidRDefault="00E4758C" w:rsidP="00E4758C">
      <w:pPr>
        <w:jc w:val="both"/>
        <w:rPr>
          <w:rFonts w:ascii="Arial" w:hAnsi="Arial" w:cs="Arial"/>
          <w:szCs w:val="24"/>
        </w:rPr>
      </w:pPr>
      <w:r w:rsidRPr="00920CAD">
        <w:rPr>
          <w:rFonts w:ascii="Arial" w:hAnsi="Arial" w:cs="Arial"/>
          <w:szCs w:val="24"/>
        </w:rPr>
        <w:t>Secretary/ Treasurer of the Inland Empire</w:t>
      </w:r>
    </w:p>
    <w:p w14:paraId="3292E770" w14:textId="77777777" w:rsidR="00E4758C" w:rsidRPr="00920CAD" w:rsidRDefault="00E4758C" w:rsidP="00E4758C">
      <w:pPr>
        <w:jc w:val="both"/>
        <w:rPr>
          <w:rFonts w:ascii="Arial" w:hAnsi="Arial" w:cs="Arial"/>
          <w:szCs w:val="24"/>
        </w:rPr>
      </w:pPr>
      <w:r w:rsidRPr="00920CAD">
        <w:rPr>
          <w:rFonts w:ascii="Arial" w:hAnsi="Arial" w:cs="Arial"/>
          <w:szCs w:val="24"/>
        </w:rPr>
        <w:t xml:space="preserve">Utilities Agency* and of the Board of </w:t>
      </w:r>
    </w:p>
    <w:p w14:paraId="48C59339" w14:textId="77777777" w:rsidR="00E4758C" w:rsidRPr="00920CAD" w:rsidRDefault="00E4758C" w:rsidP="00E4758C">
      <w:pPr>
        <w:jc w:val="both"/>
        <w:rPr>
          <w:rFonts w:ascii="Arial" w:hAnsi="Arial" w:cs="Arial"/>
          <w:spacing w:val="-3"/>
        </w:rPr>
      </w:pPr>
      <w:r w:rsidRPr="00920CAD">
        <w:rPr>
          <w:rFonts w:ascii="Arial" w:hAnsi="Arial" w:cs="Arial"/>
          <w:szCs w:val="24"/>
        </w:rPr>
        <w:t>Directors thereof</w:t>
      </w:r>
    </w:p>
    <w:p w14:paraId="5EADBBE2" w14:textId="77777777" w:rsidR="00E4758C" w:rsidRPr="00920CAD" w:rsidRDefault="00E4758C" w:rsidP="00E4758C">
      <w:pPr>
        <w:tabs>
          <w:tab w:val="left" w:pos="-720"/>
        </w:tabs>
        <w:suppressAutoHyphens/>
        <w:jc w:val="both"/>
        <w:rPr>
          <w:rFonts w:ascii="Arial" w:hAnsi="Arial" w:cs="Arial"/>
          <w:spacing w:val="-3"/>
          <w:sz w:val="18"/>
        </w:rPr>
      </w:pPr>
    </w:p>
    <w:p w14:paraId="4A0DC68F" w14:textId="77777777" w:rsidR="00A03549" w:rsidRPr="00920CAD" w:rsidRDefault="00A03549" w:rsidP="00E4758C">
      <w:pPr>
        <w:tabs>
          <w:tab w:val="left" w:pos="-720"/>
        </w:tabs>
        <w:suppressAutoHyphens/>
        <w:jc w:val="both"/>
        <w:rPr>
          <w:rFonts w:ascii="Arial" w:hAnsi="Arial" w:cs="Arial"/>
          <w:spacing w:val="-3"/>
          <w:sz w:val="18"/>
        </w:rPr>
      </w:pPr>
    </w:p>
    <w:p w14:paraId="0D8746A7" w14:textId="77777777" w:rsidR="00E4758C" w:rsidRPr="00920CAD" w:rsidRDefault="006058B7" w:rsidP="00E4758C">
      <w:pPr>
        <w:tabs>
          <w:tab w:val="left" w:pos="-720"/>
        </w:tabs>
        <w:suppressAutoHyphens/>
        <w:jc w:val="both"/>
        <w:rPr>
          <w:rFonts w:ascii="Arial" w:hAnsi="Arial" w:cs="Arial"/>
          <w:spacing w:val="-3"/>
        </w:rPr>
      </w:pPr>
      <w:r w:rsidRPr="00920CAD">
        <w:rPr>
          <w:rFonts w:ascii="Arial" w:hAnsi="Arial" w:cs="Arial"/>
          <w:spacing w:val="-3"/>
          <w:sz w:val="18"/>
        </w:rPr>
        <w:t>*A</w:t>
      </w:r>
      <w:r w:rsidR="00E4758C" w:rsidRPr="00920CAD">
        <w:rPr>
          <w:rFonts w:ascii="Arial" w:hAnsi="Arial" w:cs="Arial"/>
          <w:spacing w:val="-3"/>
          <w:sz w:val="18"/>
        </w:rPr>
        <w:t xml:space="preserve"> Municipal Water District</w:t>
      </w:r>
    </w:p>
    <w:p w14:paraId="19AE1AF6" w14:textId="77777777" w:rsidR="00E4758C" w:rsidRPr="00920CAD" w:rsidRDefault="00E4758C">
      <w:pPr>
        <w:tabs>
          <w:tab w:val="left" w:pos="-1440"/>
        </w:tabs>
        <w:jc w:val="both"/>
        <w:rPr>
          <w:rFonts w:ascii="Arial" w:hAnsi="Arial" w:cs="Arial"/>
          <w:szCs w:val="24"/>
        </w:rPr>
      </w:pPr>
    </w:p>
    <w:p w14:paraId="474CFBE0" w14:textId="77777777" w:rsidR="00E4758C" w:rsidRPr="00920CAD" w:rsidRDefault="00E4758C">
      <w:pPr>
        <w:tabs>
          <w:tab w:val="left" w:pos="-1440"/>
        </w:tabs>
        <w:jc w:val="both"/>
        <w:rPr>
          <w:rFonts w:ascii="Arial" w:hAnsi="Arial" w:cs="Arial"/>
          <w:szCs w:val="24"/>
        </w:rPr>
      </w:pPr>
    </w:p>
    <w:p w14:paraId="6F67962A" w14:textId="77777777" w:rsidR="00E4758C" w:rsidRPr="00920CAD" w:rsidRDefault="00E4758C">
      <w:pPr>
        <w:tabs>
          <w:tab w:val="left" w:pos="-1440"/>
        </w:tabs>
        <w:jc w:val="both"/>
        <w:rPr>
          <w:rFonts w:ascii="Arial" w:hAnsi="Arial" w:cs="Arial"/>
          <w:szCs w:val="24"/>
        </w:rPr>
      </w:pPr>
    </w:p>
    <w:p w14:paraId="0A9E92A1" w14:textId="6864DECE" w:rsidR="00950DAC" w:rsidRPr="00920CAD" w:rsidRDefault="00950DAC">
      <w:pPr>
        <w:widowControl/>
        <w:rPr>
          <w:rFonts w:ascii="Arial" w:hAnsi="Arial" w:cs="Arial"/>
          <w:szCs w:val="24"/>
        </w:rPr>
      </w:pPr>
      <w:r w:rsidRPr="00920CAD">
        <w:rPr>
          <w:rFonts w:ascii="Arial" w:hAnsi="Arial" w:cs="Arial"/>
          <w:szCs w:val="24"/>
        </w:rPr>
        <w:br w:type="page"/>
      </w:r>
    </w:p>
    <w:p w14:paraId="23702AC0" w14:textId="0B1523BF" w:rsidR="0016549D" w:rsidRPr="00920CAD" w:rsidRDefault="0016549D">
      <w:pPr>
        <w:tabs>
          <w:tab w:val="left" w:pos="-1440"/>
        </w:tabs>
        <w:jc w:val="both"/>
        <w:rPr>
          <w:rFonts w:ascii="Arial" w:hAnsi="Arial" w:cs="Arial"/>
          <w:szCs w:val="24"/>
        </w:rPr>
      </w:pPr>
      <w:r w:rsidRPr="00920CAD">
        <w:rPr>
          <w:rFonts w:ascii="Arial" w:hAnsi="Arial" w:cs="Arial"/>
          <w:szCs w:val="24"/>
        </w:rPr>
        <w:lastRenderedPageBreak/>
        <w:t>STATE OF CALIFORNIA</w:t>
      </w:r>
      <w:r w:rsidRPr="00920CAD">
        <w:rPr>
          <w:rFonts w:ascii="Arial" w:hAnsi="Arial" w:cs="Arial"/>
          <w:szCs w:val="24"/>
        </w:rPr>
        <w:tab/>
      </w:r>
      <w:r w:rsidRPr="00920CAD">
        <w:rPr>
          <w:rFonts w:ascii="Arial" w:hAnsi="Arial" w:cs="Arial"/>
          <w:szCs w:val="24"/>
        </w:rPr>
        <w:tab/>
      </w:r>
      <w:r w:rsidRPr="00920CAD">
        <w:rPr>
          <w:rFonts w:ascii="Arial" w:hAnsi="Arial" w:cs="Arial"/>
          <w:szCs w:val="24"/>
        </w:rPr>
        <w:tab/>
        <w:t>)</w:t>
      </w:r>
    </w:p>
    <w:p w14:paraId="2124BB9A" w14:textId="77777777" w:rsidR="0016549D" w:rsidRPr="00920CAD" w:rsidRDefault="0016549D">
      <w:pPr>
        <w:tabs>
          <w:tab w:val="left" w:pos="-1440"/>
        </w:tabs>
        <w:ind w:firstLine="4320"/>
        <w:jc w:val="both"/>
        <w:rPr>
          <w:rFonts w:ascii="Arial" w:hAnsi="Arial" w:cs="Arial"/>
          <w:szCs w:val="24"/>
        </w:rPr>
      </w:pPr>
      <w:r w:rsidRPr="00920CAD">
        <w:rPr>
          <w:rFonts w:ascii="Arial" w:hAnsi="Arial" w:cs="Arial"/>
          <w:szCs w:val="24"/>
        </w:rPr>
        <w:t>) SS</w:t>
      </w:r>
    </w:p>
    <w:p w14:paraId="193DD119" w14:textId="77777777" w:rsidR="0016549D" w:rsidRPr="00920CAD" w:rsidRDefault="0016549D">
      <w:pPr>
        <w:tabs>
          <w:tab w:val="left" w:pos="-1440"/>
        </w:tabs>
        <w:jc w:val="both"/>
        <w:rPr>
          <w:rFonts w:ascii="Arial" w:hAnsi="Arial" w:cs="Arial"/>
          <w:szCs w:val="24"/>
        </w:rPr>
      </w:pPr>
      <w:r w:rsidRPr="00920CAD">
        <w:rPr>
          <w:rFonts w:ascii="Arial" w:hAnsi="Arial" w:cs="Arial"/>
          <w:szCs w:val="24"/>
        </w:rPr>
        <w:t>COUNTY OF SAN BERNARDINO</w:t>
      </w:r>
      <w:r w:rsidR="00B0145E" w:rsidRPr="00920CAD">
        <w:rPr>
          <w:rFonts w:ascii="Arial" w:hAnsi="Arial" w:cs="Arial"/>
          <w:szCs w:val="24"/>
        </w:rPr>
        <w:tab/>
      </w:r>
      <w:r w:rsidRPr="00920CAD">
        <w:rPr>
          <w:rFonts w:ascii="Arial" w:hAnsi="Arial" w:cs="Arial"/>
          <w:szCs w:val="24"/>
        </w:rPr>
        <w:t>)</w:t>
      </w:r>
    </w:p>
    <w:p w14:paraId="738B70DD" w14:textId="77777777" w:rsidR="0016549D" w:rsidRPr="00920CAD" w:rsidRDefault="0016549D">
      <w:pPr>
        <w:tabs>
          <w:tab w:val="left" w:pos="-1440"/>
        </w:tabs>
        <w:spacing w:line="480" w:lineRule="auto"/>
        <w:jc w:val="both"/>
        <w:rPr>
          <w:rFonts w:ascii="Arial" w:hAnsi="Arial" w:cs="Arial"/>
          <w:szCs w:val="24"/>
        </w:rPr>
      </w:pPr>
    </w:p>
    <w:p w14:paraId="4775C4BF" w14:textId="7D54240F" w:rsidR="0016549D" w:rsidRPr="00920CAD" w:rsidRDefault="0016549D" w:rsidP="00950DAC">
      <w:pPr>
        <w:jc w:val="both"/>
        <w:rPr>
          <w:rFonts w:ascii="Arial" w:hAnsi="Arial" w:cs="Arial"/>
          <w:spacing w:val="-3"/>
        </w:rPr>
      </w:pPr>
      <w:r w:rsidRPr="00920CAD">
        <w:rPr>
          <w:rFonts w:ascii="Arial" w:hAnsi="Arial" w:cs="Arial"/>
          <w:szCs w:val="24"/>
        </w:rPr>
        <w:t xml:space="preserve">I, </w:t>
      </w:r>
      <w:r w:rsidR="00950DAC" w:rsidRPr="00920CAD">
        <w:rPr>
          <w:rFonts w:ascii="Arial" w:hAnsi="Arial" w:cs="Arial"/>
          <w:spacing w:val="-3"/>
        </w:rPr>
        <w:t>Kati Parker</w:t>
      </w:r>
      <w:r w:rsidRPr="00920CAD">
        <w:rPr>
          <w:rFonts w:ascii="Arial" w:hAnsi="Arial" w:cs="Arial"/>
          <w:szCs w:val="24"/>
        </w:rPr>
        <w:t>, Secretary/Treasurer of the Inland Empire Utilities Agency*, DO HEREBY CERTIFY that the for</w:t>
      </w:r>
      <w:r w:rsidR="00BB3299" w:rsidRPr="00920CAD">
        <w:rPr>
          <w:rFonts w:ascii="Arial" w:hAnsi="Arial" w:cs="Arial"/>
          <w:szCs w:val="24"/>
        </w:rPr>
        <w:t xml:space="preserve">egoing Resolution being No. </w:t>
      </w:r>
      <w:r w:rsidR="002C4C2E" w:rsidRPr="00920CAD">
        <w:rPr>
          <w:rFonts w:ascii="Arial" w:hAnsi="Arial" w:cs="Arial"/>
          <w:szCs w:val="24"/>
        </w:rPr>
        <w:t>201</w:t>
      </w:r>
      <w:r w:rsidR="00F93959" w:rsidRPr="00920CAD">
        <w:rPr>
          <w:rFonts w:ascii="Arial" w:hAnsi="Arial" w:cs="Arial"/>
          <w:szCs w:val="24"/>
        </w:rPr>
        <w:t>9</w:t>
      </w:r>
      <w:r w:rsidRPr="00920CAD">
        <w:rPr>
          <w:rFonts w:ascii="Arial" w:hAnsi="Arial" w:cs="Arial"/>
          <w:szCs w:val="24"/>
        </w:rPr>
        <w:t>-</w:t>
      </w:r>
      <w:r w:rsidR="00D60854" w:rsidRPr="00920CAD">
        <w:rPr>
          <w:rFonts w:ascii="Arial" w:hAnsi="Arial" w:cs="Arial"/>
          <w:szCs w:val="24"/>
        </w:rPr>
        <w:t>6</w:t>
      </w:r>
      <w:r w:rsidRPr="00920CAD">
        <w:rPr>
          <w:rFonts w:ascii="Arial" w:hAnsi="Arial" w:cs="Arial"/>
          <w:szCs w:val="24"/>
        </w:rPr>
        <w:t>-</w:t>
      </w:r>
      <w:r w:rsidR="00F64E05" w:rsidRPr="00920CAD">
        <w:rPr>
          <w:rFonts w:ascii="Arial" w:hAnsi="Arial" w:cs="Arial"/>
          <w:szCs w:val="24"/>
        </w:rPr>
        <w:t>3</w:t>
      </w:r>
      <w:r w:rsidR="002C4C2E" w:rsidRPr="00920CAD">
        <w:rPr>
          <w:rFonts w:ascii="Arial" w:hAnsi="Arial" w:cs="Arial"/>
          <w:szCs w:val="24"/>
        </w:rPr>
        <w:t xml:space="preserve"> </w:t>
      </w:r>
      <w:r w:rsidRPr="00920CAD">
        <w:rPr>
          <w:rFonts w:ascii="Arial" w:hAnsi="Arial" w:cs="Arial"/>
          <w:szCs w:val="24"/>
        </w:rPr>
        <w:t xml:space="preserve">as adopted at a </w:t>
      </w:r>
      <w:r w:rsidR="00B0145E" w:rsidRPr="00920CAD">
        <w:rPr>
          <w:rFonts w:ascii="Arial" w:hAnsi="Arial" w:cs="Arial"/>
          <w:szCs w:val="24"/>
        </w:rPr>
        <w:t>regular Board me</w:t>
      </w:r>
      <w:r w:rsidRPr="00920CAD">
        <w:rPr>
          <w:rFonts w:ascii="Arial" w:hAnsi="Arial" w:cs="Arial"/>
          <w:szCs w:val="24"/>
        </w:rPr>
        <w:t xml:space="preserve">eting on </w:t>
      </w:r>
      <w:r w:rsidR="002C4C2E" w:rsidRPr="00920CAD">
        <w:rPr>
          <w:rFonts w:ascii="Arial" w:hAnsi="Arial" w:cs="Arial"/>
          <w:szCs w:val="24"/>
        </w:rPr>
        <w:t xml:space="preserve">June </w:t>
      </w:r>
      <w:r w:rsidR="00950DAC" w:rsidRPr="00920CAD">
        <w:rPr>
          <w:rFonts w:ascii="Arial" w:hAnsi="Arial" w:cs="Arial"/>
          <w:szCs w:val="24"/>
        </w:rPr>
        <w:t>19</w:t>
      </w:r>
      <w:r w:rsidRPr="00920CAD">
        <w:rPr>
          <w:rFonts w:ascii="Arial" w:hAnsi="Arial" w:cs="Arial"/>
          <w:szCs w:val="24"/>
        </w:rPr>
        <w:t xml:space="preserve">, </w:t>
      </w:r>
      <w:r w:rsidR="002C4C2E" w:rsidRPr="00920CAD">
        <w:rPr>
          <w:rFonts w:ascii="Arial" w:hAnsi="Arial" w:cs="Arial"/>
          <w:szCs w:val="24"/>
        </w:rPr>
        <w:t>201</w:t>
      </w:r>
      <w:r w:rsidR="00E45EA5" w:rsidRPr="00920CAD">
        <w:rPr>
          <w:rFonts w:ascii="Arial" w:hAnsi="Arial" w:cs="Arial"/>
          <w:szCs w:val="24"/>
        </w:rPr>
        <w:t>9</w:t>
      </w:r>
      <w:r w:rsidR="00B0145E" w:rsidRPr="00920CAD">
        <w:rPr>
          <w:rFonts w:ascii="Arial" w:hAnsi="Arial" w:cs="Arial"/>
          <w:szCs w:val="24"/>
        </w:rPr>
        <w:t>,</w:t>
      </w:r>
      <w:r w:rsidRPr="00920CAD">
        <w:rPr>
          <w:rFonts w:ascii="Arial" w:hAnsi="Arial" w:cs="Arial"/>
          <w:szCs w:val="24"/>
        </w:rPr>
        <w:t xml:space="preserve"> of said Agency* by the following vote:</w:t>
      </w:r>
    </w:p>
    <w:p w14:paraId="0C09B3F9" w14:textId="77777777" w:rsidR="0016549D" w:rsidRPr="00920CAD" w:rsidRDefault="0016549D">
      <w:pPr>
        <w:tabs>
          <w:tab w:val="left" w:pos="-1440"/>
        </w:tabs>
        <w:jc w:val="both"/>
        <w:rPr>
          <w:rFonts w:ascii="Arial" w:hAnsi="Arial" w:cs="Arial"/>
          <w:szCs w:val="24"/>
        </w:rPr>
      </w:pPr>
    </w:p>
    <w:p w14:paraId="6B4A101A" w14:textId="77777777" w:rsidR="0016549D" w:rsidRPr="00920CAD" w:rsidRDefault="0016549D">
      <w:pPr>
        <w:tabs>
          <w:tab w:val="left" w:pos="-1440"/>
        </w:tabs>
        <w:jc w:val="both"/>
        <w:rPr>
          <w:rFonts w:ascii="Arial" w:hAnsi="Arial" w:cs="Arial"/>
          <w:szCs w:val="24"/>
        </w:rPr>
      </w:pPr>
    </w:p>
    <w:p w14:paraId="13589B93" w14:textId="77777777" w:rsidR="0016549D" w:rsidRPr="00920CAD" w:rsidRDefault="0016549D">
      <w:pPr>
        <w:pStyle w:val="BodyTextIndent"/>
        <w:outlineLvl w:val="0"/>
        <w:rPr>
          <w:rFonts w:ascii="Arial" w:hAnsi="Arial" w:cs="Arial"/>
          <w:szCs w:val="24"/>
        </w:rPr>
      </w:pPr>
      <w:r w:rsidRPr="00920CAD">
        <w:rPr>
          <w:rFonts w:ascii="Arial" w:hAnsi="Arial" w:cs="Arial"/>
          <w:szCs w:val="24"/>
        </w:rPr>
        <w:t xml:space="preserve">AYES: </w:t>
      </w:r>
      <w:r w:rsidRPr="00920CAD">
        <w:rPr>
          <w:rFonts w:ascii="Arial" w:hAnsi="Arial" w:cs="Arial"/>
          <w:szCs w:val="24"/>
        </w:rPr>
        <w:tab/>
      </w:r>
    </w:p>
    <w:p w14:paraId="4955200E" w14:textId="77777777" w:rsidR="0016549D" w:rsidRPr="00920CAD" w:rsidRDefault="0016549D">
      <w:pPr>
        <w:tabs>
          <w:tab w:val="left" w:pos="-1440"/>
        </w:tabs>
        <w:jc w:val="both"/>
        <w:rPr>
          <w:rFonts w:ascii="Arial" w:hAnsi="Arial" w:cs="Arial"/>
          <w:szCs w:val="24"/>
        </w:rPr>
      </w:pPr>
    </w:p>
    <w:p w14:paraId="61BBA821" w14:textId="77777777" w:rsidR="0016549D" w:rsidRPr="00920CAD" w:rsidRDefault="0016549D">
      <w:pPr>
        <w:tabs>
          <w:tab w:val="left" w:pos="-1440"/>
        </w:tabs>
        <w:ind w:firstLine="720"/>
        <w:jc w:val="both"/>
        <w:outlineLvl w:val="0"/>
        <w:rPr>
          <w:rFonts w:ascii="Arial" w:hAnsi="Arial" w:cs="Arial"/>
          <w:szCs w:val="24"/>
        </w:rPr>
      </w:pPr>
      <w:r w:rsidRPr="00920CAD">
        <w:rPr>
          <w:rFonts w:ascii="Arial" w:hAnsi="Arial" w:cs="Arial"/>
          <w:szCs w:val="24"/>
        </w:rPr>
        <w:t>NOES:</w:t>
      </w:r>
      <w:r w:rsidRPr="00920CAD">
        <w:rPr>
          <w:rFonts w:ascii="Arial" w:hAnsi="Arial" w:cs="Arial"/>
          <w:szCs w:val="24"/>
        </w:rPr>
        <w:tab/>
      </w:r>
      <w:r w:rsidR="00B0145E" w:rsidRPr="00920CAD">
        <w:rPr>
          <w:rFonts w:ascii="Arial" w:hAnsi="Arial" w:cs="Arial"/>
          <w:szCs w:val="24"/>
        </w:rPr>
        <w:tab/>
      </w:r>
    </w:p>
    <w:p w14:paraId="772DDB2B" w14:textId="77777777" w:rsidR="0016549D" w:rsidRPr="00920CAD" w:rsidRDefault="0016549D">
      <w:pPr>
        <w:tabs>
          <w:tab w:val="left" w:pos="-1440"/>
        </w:tabs>
        <w:jc w:val="both"/>
        <w:rPr>
          <w:rFonts w:ascii="Arial" w:hAnsi="Arial" w:cs="Arial"/>
          <w:szCs w:val="24"/>
        </w:rPr>
      </w:pPr>
    </w:p>
    <w:p w14:paraId="353DF104" w14:textId="77777777" w:rsidR="0016549D" w:rsidRPr="00920CAD" w:rsidRDefault="0016549D">
      <w:pPr>
        <w:tabs>
          <w:tab w:val="left" w:pos="-1440"/>
        </w:tabs>
        <w:ind w:firstLine="720"/>
        <w:jc w:val="both"/>
        <w:outlineLvl w:val="0"/>
        <w:rPr>
          <w:rFonts w:ascii="Arial" w:hAnsi="Arial" w:cs="Arial"/>
          <w:szCs w:val="24"/>
        </w:rPr>
      </w:pPr>
      <w:r w:rsidRPr="00920CAD">
        <w:rPr>
          <w:rFonts w:ascii="Arial" w:hAnsi="Arial" w:cs="Arial"/>
          <w:szCs w:val="24"/>
        </w:rPr>
        <w:t>ABSTAIN:</w:t>
      </w:r>
      <w:r w:rsidRPr="00920CAD">
        <w:rPr>
          <w:rFonts w:ascii="Arial" w:hAnsi="Arial" w:cs="Arial"/>
          <w:szCs w:val="24"/>
        </w:rPr>
        <w:tab/>
      </w:r>
    </w:p>
    <w:p w14:paraId="2453EB9D" w14:textId="77777777" w:rsidR="0016549D" w:rsidRPr="00920CAD" w:rsidRDefault="0016549D">
      <w:pPr>
        <w:tabs>
          <w:tab w:val="left" w:pos="-1440"/>
        </w:tabs>
        <w:jc w:val="both"/>
        <w:rPr>
          <w:rFonts w:ascii="Arial" w:hAnsi="Arial" w:cs="Arial"/>
          <w:szCs w:val="24"/>
        </w:rPr>
      </w:pPr>
    </w:p>
    <w:p w14:paraId="4282B29D" w14:textId="77777777" w:rsidR="0016549D" w:rsidRPr="00920CAD" w:rsidRDefault="0016549D">
      <w:pPr>
        <w:tabs>
          <w:tab w:val="left" w:pos="-1440"/>
        </w:tabs>
        <w:ind w:firstLine="720"/>
        <w:jc w:val="both"/>
        <w:outlineLvl w:val="0"/>
        <w:rPr>
          <w:rFonts w:ascii="Arial" w:hAnsi="Arial" w:cs="Arial"/>
          <w:szCs w:val="24"/>
        </w:rPr>
      </w:pPr>
      <w:r w:rsidRPr="00920CAD">
        <w:rPr>
          <w:rFonts w:ascii="Arial" w:hAnsi="Arial" w:cs="Arial"/>
          <w:szCs w:val="24"/>
        </w:rPr>
        <w:t>ABSENT:</w:t>
      </w:r>
      <w:r w:rsidRPr="00920CAD">
        <w:rPr>
          <w:rFonts w:ascii="Arial" w:hAnsi="Arial" w:cs="Arial"/>
          <w:szCs w:val="24"/>
        </w:rPr>
        <w:tab/>
      </w:r>
    </w:p>
    <w:p w14:paraId="2B0AFCF0" w14:textId="77777777" w:rsidR="0016549D" w:rsidRPr="00920CAD" w:rsidRDefault="0016549D">
      <w:pPr>
        <w:tabs>
          <w:tab w:val="left" w:pos="-1440"/>
        </w:tabs>
        <w:jc w:val="both"/>
        <w:rPr>
          <w:rFonts w:ascii="Arial" w:hAnsi="Arial" w:cs="Arial"/>
          <w:szCs w:val="24"/>
        </w:rPr>
      </w:pPr>
    </w:p>
    <w:p w14:paraId="5F965D1A" w14:textId="77777777" w:rsidR="0016549D" w:rsidRPr="00920CAD" w:rsidRDefault="0016549D">
      <w:pPr>
        <w:tabs>
          <w:tab w:val="left" w:pos="-1440"/>
        </w:tabs>
        <w:jc w:val="both"/>
        <w:rPr>
          <w:rFonts w:ascii="Arial" w:hAnsi="Arial" w:cs="Arial"/>
          <w:szCs w:val="24"/>
        </w:rPr>
      </w:pPr>
    </w:p>
    <w:p w14:paraId="267E8716" w14:textId="77777777" w:rsidR="00E4758C" w:rsidRPr="00920CAD" w:rsidRDefault="00E4758C" w:rsidP="00E4758C">
      <w:pPr>
        <w:tabs>
          <w:tab w:val="left" w:pos="-720"/>
        </w:tabs>
        <w:suppressAutoHyphens/>
        <w:ind w:left="3600"/>
        <w:jc w:val="both"/>
        <w:rPr>
          <w:rFonts w:ascii="Arial" w:hAnsi="Arial" w:cs="Arial"/>
          <w:spacing w:val="-3"/>
        </w:rPr>
      </w:pPr>
      <w:r w:rsidRPr="00920CAD">
        <w:rPr>
          <w:rFonts w:ascii="Arial" w:hAnsi="Arial" w:cs="Arial"/>
          <w:spacing w:val="-3"/>
        </w:rPr>
        <w:tab/>
      </w:r>
      <w:r w:rsidRPr="00920CAD">
        <w:rPr>
          <w:rFonts w:ascii="Arial" w:hAnsi="Arial" w:cs="Arial"/>
          <w:spacing w:val="-3"/>
        </w:rPr>
        <w:tab/>
        <w:t>________________________________</w:t>
      </w:r>
    </w:p>
    <w:p w14:paraId="5F112C42" w14:textId="1FF85C58" w:rsidR="00E4758C" w:rsidRPr="00920CAD" w:rsidRDefault="00E4758C" w:rsidP="00950DAC">
      <w:pPr>
        <w:jc w:val="both"/>
        <w:rPr>
          <w:rFonts w:ascii="Arial" w:hAnsi="Arial" w:cs="Arial"/>
          <w:spacing w:val="-3"/>
        </w:rPr>
      </w:pP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00950DAC" w:rsidRPr="00920CAD">
        <w:rPr>
          <w:rFonts w:ascii="Arial" w:hAnsi="Arial" w:cs="Arial"/>
          <w:spacing w:val="-3"/>
        </w:rPr>
        <w:t>Kati Parker</w:t>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p>
    <w:p w14:paraId="30DBD4F1" w14:textId="77777777" w:rsidR="00E4758C" w:rsidRPr="00920CAD" w:rsidRDefault="00E4758C" w:rsidP="00E4758C">
      <w:pPr>
        <w:tabs>
          <w:tab w:val="left" w:pos="-720"/>
        </w:tabs>
        <w:suppressAutoHyphens/>
        <w:jc w:val="both"/>
        <w:rPr>
          <w:rFonts w:ascii="Arial" w:hAnsi="Arial" w:cs="Arial"/>
          <w:spacing w:val="-3"/>
        </w:rPr>
      </w:pP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r>
      <w:r w:rsidRPr="00920CAD">
        <w:rPr>
          <w:rFonts w:ascii="Arial" w:hAnsi="Arial" w:cs="Arial"/>
          <w:spacing w:val="-3"/>
        </w:rPr>
        <w:tab/>
        <w:t>Secretary/Treasurer</w:t>
      </w:r>
    </w:p>
    <w:p w14:paraId="7C84E9C7" w14:textId="77777777" w:rsidR="0016549D" w:rsidRPr="00920CAD" w:rsidRDefault="0016549D">
      <w:pPr>
        <w:tabs>
          <w:tab w:val="left" w:pos="-1440"/>
        </w:tabs>
        <w:jc w:val="both"/>
        <w:rPr>
          <w:rFonts w:ascii="Arial" w:hAnsi="Arial" w:cs="Arial"/>
          <w:szCs w:val="24"/>
        </w:rPr>
      </w:pPr>
    </w:p>
    <w:p w14:paraId="12097B65" w14:textId="77777777" w:rsidR="0016549D" w:rsidRPr="00920CAD" w:rsidRDefault="0016549D">
      <w:pPr>
        <w:tabs>
          <w:tab w:val="left" w:pos="-1440"/>
        </w:tabs>
        <w:jc w:val="both"/>
        <w:rPr>
          <w:rFonts w:ascii="Arial" w:hAnsi="Arial" w:cs="Arial"/>
          <w:szCs w:val="24"/>
        </w:rPr>
      </w:pPr>
    </w:p>
    <w:p w14:paraId="10CF8E29" w14:textId="77777777" w:rsidR="0016549D" w:rsidRPr="00920CAD" w:rsidRDefault="0016549D">
      <w:pPr>
        <w:tabs>
          <w:tab w:val="left" w:pos="-1440"/>
        </w:tabs>
        <w:jc w:val="both"/>
        <w:rPr>
          <w:rFonts w:ascii="Arial" w:hAnsi="Arial" w:cs="Arial"/>
          <w:szCs w:val="24"/>
        </w:rPr>
      </w:pPr>
    </w:p>
    <w:p w14:paraId="058D84C7" w14:textId="77777777" w:rsidR="0016549D" w:rsidRPr="00920CAD" w:rsidRDefault="0016549D">
      <w:pPr>
        <w:tabs>
          <w:tab w:val="left" w:pos="-1440"/>
        </w:tabs>
        <w:jc w:val="both"/>
        <w:rPr>
          <w:rFonts w:ascii="Arial" w:hAnsi="Arial" w:cs="Arial"/>
          <w:szCs w:val="24"/>
        </w:rPr>
      </w:pPr>
    </w:p>
    <w:p w14:paraId="212B7D84" w14:textId="77777777" w:rsidR="0016549D" w:rsidRPr="00920CAD" w:rsidRDefault="0016549D">
      <w:pPr>
        <w:tabs>
          <w:tab w:val="left" w:pos="-1440"/>
        </w:tabs>
        <w:jc w:val="both"/>
        <w:rPr>
          <w:rFonts w:ascii="Arial" w:hAnsi="Arial" w:cs="Arial"/>
          <w:szCs w:val="24"/>
        </w:rPr>
      </w:pPr>
      <w:r w:rsidRPr="00920CAD">
        <w:rPr>
          <w:rFonts w:ascii="Arial" w:hAnsi="Arial" w:cs="Arial"/>
          <w:szCs w:val="24"/>
        </w:rPr>
        <w:t>(SEAL)</w:t>
      </w:r>
    </w:p>
    <w:p w14:paraId="1C7B05C6" w14:textId="77777777" w:rsidR="0016549D" w:rsidRPr="00920CAD" w:rsidRDefault="0016549D">
      <w:pPr>
        <w:tabs>
          <w:tab w:val="left" w:pos="-1440"/>
        </w:tabs>
        <w:jc w:val="both"/>
        <w:rPr>
          <w:rFonts w:ascii="Arial" w:hAnsi="Arial" w:cs="Arial"/>
          <w:szCs w:val="24"/>
        </w:rPr>
      </w:pPr>
    </w:p>
    <w:p w14:paraId="36994815" w14:textId="77777777" w:rsidR="006058B7" w:rsidRPr="00920CAD" w:rsidRDefault="006058B7">
      <w:pPr>
        <w:tabs>
          <w:tab w:val="left" w:pos="-1440"/>
        </w:tabs>
        <w:jc w:val="both"/>
        <w:rPr>
          <w:rFonts w:ascii="Arial" w:hAnsi="Arial" w:cs="Arial"/>
          <w:szCs w:val="24"/>
        </w:rPr>
      </w:pPr>
    </w:p>
    <w:p w14:paraId="316F2E96" w14:textId="77777777" w:rsidR="006058B7" w:rsidRPr="00920CAD" w:rsidRDefault="006058B7">
      <w:pPr>
        <w:tabs>
          <w:tab w:val="left" w:pos="-1440"/>
        </w:tabs>
        <w:jc w:val="both"/>
        <w:rPr>
          <w:rFonts w:ascii="Arial" w:hAnsi="Arial" w:cs="Arial"/>
          <w:szCs w:val="24"/>
        </w:rPr>
      </w:pPr>
    </w:p>
    <w:p w14:paraId="115B0BFC" w14:textId="77777777" w:rsidR="006058B7" w:rsidRPr="00920CAD" w:rsidRDefault="006058B7">
      <w:pPr>
        <w:tabs>
          <w:tab w:val="left" w:pos="-1440"/>
        </w:tabs>
        <w:jc w:val="both"/>
        <w:rPr>
          <w:rFonts w:ascii="Arial" w:hAnsi="Arial" w:cs="Arial"/>
          <w:szCs w:val="24"/>
        </w:rPr>
      </w:pPr>
    </w:p>
    <w:p w14:paraId="6CE76DB4" w14:textId="77777777" w:rsidR="006058B7" w:rsidRPr="00920CAD" w:rsidRDefault="006058B7">
      <w:pPr>
        <w:tabs>
          <w:tab w:val="left" w:pos="-1440"/>
        </w:tabs>
        <w:jc w:val="both"/>
        <w:rPr>
          <w:rFonts w:ascii="Arial" w:hAnsi="Arial" w:cs="Arial"/>
          <w:szCs w:val="24"/>
        </w:rPr>
      </w:pPr>
    </w:p>
    <w:p w14:paraId="05688436" w14:textId="77777777" w:rsidR="006058B7" w:rsidRPr="00920CAD" w:rsidRDefault="006058B7">
      <w:pPr>
        <w:tabs>
          <w:tab w:val="left" w:pos="-1440"/>
        </w:tabs>
        <w:jc w:val="both"/>
        <w:rPr>
          <w:rFonts w:ascii="Arial" w:hAnsi="Arial" w:cs="Arial"/>
          <w:szCs w:val="24"/>
        </w:rPr>
      </w:pPr>
    </w:p>
    <w:p w14:paraId="15A4BBCD" w14:textId="77777777" w:rsidR="0016549D" w:rsidRPr="00920CAD" w:rsidRDefault="0016549D">
      <w:pPr>
        <w:tabs>
          <w:tab w:val="left" w:pos="-1440"/>
        </w:tabs>
        <w:rPr>
          <w:rFonts w:ascii="Arial" w:hAnsi="Arial" w:cs="Arial"/>
          <w:szCs w:val="24"/>
        </w:rPr>
      </w:pPr>
      <w:r w:rsidRPr="00920CAD">
        <w:rPr>
          <w:rFonts w:ascii="Arial" w:hAnsi="Arial" w:cs="Arial"/>
          <w:szCs w:val="24"/>
        </w:rPr>
        <w:t>* A Municipal Water District</w:t>
      </w:r>
    </w:p>
    <w:p w14:paraId="6BC55314" w14:textId="77777777" w:rsidR="0016549D" w:rsidRPr="00920CAD" w:rsidRDefault="0016549D">
      <w:pPr>
        <w:tabs>
          <w:tab w:val="left" w:pos="-1440"/>
        </w:tabs>
        <w:rPr>
          <w:rFonts w:ascii="Arial" w:hAnsi="Arial" w:cs="Arial"/>
          <w:szCs w:val="24"/>
        </w:rPr>
      </w:pPr>
    </w:p>
    <w:p w14:paraId="0C111B88" w14:textId="77777777" w:rsidR="0016549D" w:rsidRPr="00920CAD" w:rsidRDefault="0016549D">
      <w:pPr>
        <w:tabs>
          <w:tab w:val="left" w:pos="-1440"/>
        </w:tabs>
        <w:rPr>
          <w:rFonts w:ascii="Arial" w:hAnsi="Arial" w:cs="Arial"/>
          <w:szCs w:val="24"/>
        </w:rPr>
      </w:pPr>
    </w:p>
    <w:sectPr w:rsidR="0016549D" w:rsidRPr="00920CAD" w:rsidSect="00C2673C">
      <w:headerReference w:type="default" r:id="rId8"/>
      <w:endnotePr>
        <w:numFmt w:val="decimal"/>
      </w:endnotePr>
      <w:pgSz w:w="12240" w:h="15840" w:code="1"/>
      <w:pgMar w:top="1440" w:right="1440" w:bottom="1440" w:left="1440" w:header="450" w:footer="720" w:gutter="0"/>
      <w:paperSrc w:first="15"/>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B5F2F" w14:textId="77777777" w:rsidR="007A1358" w:rsidRDefault="007A1358">
      <w:r>
        <w:separator/>
      </w:r>
    </w:p>
  </w:endnote>
  <w:endnote w:type="continuationSeparator" w:id="0">
    <w:p w14:paraId="4AEC9417" w14:textId="77777777" w:rsidR="007A1358" w:rsidRDefault="007A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A9F9" w14:textId="77777777" w:rsidR="007A1358" w:rsidRDefault="007A1358">
      <w:r>
        <w:separator/>
      </w:r>
    </w:p>
  </w:footnote>
  <w:footnote w:type="continuationSeparator" w:id="0">
    <w:p w14:paraId="2287C3C2" w14:textId="77777777" w:rsidR="007A1358" w:rsidRDefault="007A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8588" w14:textId="5A4A837A" w:rsidR="00D60854" w:rsidRDefault="00C258D2" w:rsidP="00D60854">
    <w:pPr>
      <w:pStyle w:val="Header"/>
      <w:tabs>
        <w:tab w:val="clear" w:pos="8640"/>
        <w:tab w:val="right" w:pos="9360"/>
      </w:tabs>
      <w:rPr>
        <w:szCs w:val="24"/>
      </w:rPr>
    </w:pPr>
    <w:r w:rsidRPr="00920CAD">
      <w:rPr>
        <w:szCs w:val="24"/>
      </w:rPr>
      <w:t xml:space="preserve">Resolution No. </w:t>
    </w:r>
    <w:r w:rsidR="002C4C2E" w:rsidRPr="00920CAD">
      <w:rPr>
        <w:szCs w:val="24"/>
      </w:rPr>
      <w:t>201</w:t>
    </w:r>
    <w:r w:rsidR="00170710" w:rsidRPr="00920CAD">
      <w:rPr>
        <w:szCs w:val="24"/>
      </w:rPr>
      <w:t>9</w:t>
    </w:r>
    <w:r w:rsidRPr="00920CAD">
      <w:rPr>
        <w:szCs w:val="24"/>
      </w:rPr>
      <w:t>-</w:t>
    </w:r>
    <w:r w:rsidR="002C4C2E" w:rsidRPr="00920CAD">
      <w:rPr>
        <w:szCs w:val="24"/>
      </w:rPr>
      <w:t>6</w:t>
    </w:r>
    <w:r w:rsidRPr="00920CAD">
      <w:rPr>
        <w:szCs w:val="24"/>
      </w:rPr>
      <w:t>-</w:t>
    </w:r>
    <w:r w:rsidR="008F3158" w:rsidRPr="00920CAD">
      <w:rPr>
        <w:szCs w:val="24"/>
      </w:rPr>
      <w:t>3</w:t>
    </w:r>
  </w:p>
  <w:p w14:paraId="6D496D86" w14:textId="77777777" w:rsidR="00C258D2" w:rsidRPr="00DB3EE5" w:rsidRDefault="00C258D2" w:rsidP="00D60854">
    <w:pPr>
      <w:pStyle w:val="Header"/>
      <w:tabs>
        <w:tab w:val="clear" w:pos="8640"/>
        <w:tab w:val="right" w:pos="9360"/>
      </w:tabs>
      <w:rPr>
        <w:szCs w:val="24"/>
      </w:rPr>
    </w:pPr>
    <w:r w:rsidRPr="00DB3EE5">
      <w:rPr>
        <w:szCs w:val="24"/>
      </w:rPr>
      <w:t>NRWS Rates</w:t>
    </w:r>
  </w:p>
  <w:p w14:paraId="34FB9395" w14:textId="77777777" w:rsidR="00C258D2" w:rsidRPr="00DB3EE5" w:rsidRDefault="00C258D2" w:rsidP="00FE74A0">
    <w:pPr>
      <w:pStyle w:val="Header"/>
      <w:rPr>
        <w:szCs w:val="24"/>
      </w:rPr>
    </w:pPr>
    <w:r w:rsidRPr="00DB3EE5">
      <w:rPr>
        <w:szCs w:val="24"/>
      </w:rPr>
      <w:t xml:space="preserve">Page </w:t>
    </w:r>
    <w:r w:rsidRPr="00DB3EE5">
      <w:rPr>
        <w:rStyle w:val="PageNumber"/>
        <w:szCs w:val="24"/>
      </w:rPr>
      <w:fldChar w:fldCharType="begin"/>
    </w:r>
    <w:r w:rsidRPr="00DB3EE5">
      <w:rPr>
        <w:rStyle w:val="PageNumber"/>
        <w:szCs w:val="24"/>
      </w:rPr>
      <w:instrText xml:space="preserve"> PAGE </w:instrText>
    </w:r>
    <w:r w:rsidRPr="00DB3EE5">
      <w:rPr>
        <w:rStyle w:val="PageNumber"/>
        <w:szCs w:val="24"/>
      </w:rPr>
      <w:fldChar w:fldCharType="separate"/>
    </w:r>
    <w:r w:rsidR="00C2673C">
      <w:rPr>
        <w:rStyle w:val="PageNumber"/>
        <w:noProof/>
        <w:szCs w:val="24"/>
      </w:rPr>
      <w:t>3</w:t>
    </w:r>
    <w:r w:rsidRPr="00DB3EE5">
      <w:rPr>
        <w:rStyle w:val="PageNumber"/>
        <w:szCs w:val="24"/>
      </w:rPr>
      <w:fldChar w:fldCharType="end"/>
    </w:r>
    <w:r w:rsidRPr="00DB3EE5">
      <w:rPr>
        <w:szCs w:val="24"/>
      </w:rPr>
      <w:t xml:space="preserve"> of </w:t>
    </w:r>
    <w:r w:rsidRPr="00DB3EE5">
      <w:rPr>
        <w:szCs w:val="24"/>
      </w:rPr>
      <w:fldChar w:fldCharType="begin"/>
    </w:r>
    <w:r w:rsidRPr="00DB3EE5">
      <w:rPr>
        <w:szCs w:val="24"/>
      </w:rPr>
      <w:instrText xml:space="preserve"> NUMPAGES </w:instrText>
    </w:r>
    <w:r w:rsidRPr="00DB3EE5">
      <w:rPr>
        <w:szCs w:val="24"/>
      </w:rPr>
      <w:fldChar w:fldCharType="separate"/>
    </w:r>
    <w:r w:rsidR="00C2673C">
      <w:rPr>
        <w:noProof/>
        <w:szCs w:val="24"/>
      </w:rPr>
      <w:t>7</w:t>
    </w:r>
    <w:r w:rsidRPr="00DB3EE5">
      <w:rPr>
        <w:szCs w:val="24"/>
      </w:rPr>
      <w:fldChar w:fldCharType="end"/>
    </w:r>
  </w:p>
  <w:p w14:paraId="3259962B" w14:textId="77777777" w:rsidR="00C258D2" w:rsidRPr="000D45FC" w:rsidRDefault="00C258D2">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8CE"/>
    <w:multiLevelType w:val="hybridMultilevel"/>
    <w:tmpl w:val="7C24DD3A"/>
    <w:lvl w:ilvl="0" w:tplc="D26C1A6C">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8B636C"/>
    <w:multiLevelType w:val="hybridMultilevel"/>
    <w:tmpl w:val="3AF43276"/>
    <w:lvl w:ilvl="0" w:tplc="93A6BCDA">
      <w:start w:val="1"/>
      <w:numFmt w:val="upperLetter"/>
      <w:lvlText w:val="(%1)"/>
      <w:lvlJc w:val="left"/>
      <w:pPr>
        <w:tabs>
          <w:tab w:val="num" w:pos="2340"/>
        </w:tabs>
        <w:ind w:left="2340" w:hanging="720"/>
      </w:pPr>
      <w:rPr>
        <w:rFonts w:hint="default"/>
        <w:strike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6703E8"/>
    <w:multiLevelType w:val="singleLevel"/>
    <w:tmpl w:val="FE14F9CC"/>
    <w:lvl w:ilvl="0">
      <w:start w:val="2"/>
      <w:numFmt w:val="lowerLetter"/>
      <w:lvlText w:val="(%1)"/>
      <w:lvlJc w:val="left"/>
      <w:pPr>
        <w:tabs>
          <w:tab w:val="num" w:pos="1155"/>
        </w:tabs>
        <w:ind w:left="1155" w:hanging="435"/>
      </w:pPr>
      <w:rPr>
        <w:rFonts w:hint="default"/>
      </w:rPr>
    </w:lvl>
  </w:abstractNum>
  <w:abstractNum w:abstractNumId="3" w15:restartNumberingAfterBreak="0">
    <w:nsid w:val="1416424B"/>
    <w:multiLevelType w:val="hybridMultilevel"/>
    <w:tmpl w:val="04B28C80"/>
    <w:lvl w:ilvl="0" w:tplc="59B2625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B03C33"/>
    <w:multiLevelType w:val="hybridMultilevel"/>
    <w:tmpl w:val="6A863308"/>
    <w:lvl w:ilvl="0" w:tplc="E182FE9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E6A7A35"/>
    <w:multiLevelType w:val="singleLevel"/>
    <w:tmpl w:val="2F3ED3EE"/>
    <w:lvl w:ilvl="0">
      <w:start w:val="1"/>
      <w:numFmt w:val="decimal"/>
      <w:lvlText w:val="%1)"/>
      <w:lvlJc w:val="left"/>
      <w:pPr>
        <w:tabs>
          <w:tab w:val="num" w:pos="2160"/>
        </w:tabs>
        <w:ind w:left="2160" w:hanging="720"/>
      </w:pPr>
      <w:rPr>
        <w:rFonts w:hint="default"/>
      </w:rPr>
    </w:lvl>
  </w:abstractNum>
  <w:abstractNum w:abstractNumId="6" w15:restartNumberingAfterBreak="0">
    <w:nsid w:val="1FA76E49"/>
    <w:multiLevelType w:val="hybridMultilevel"/>
    <w:tmpl w:val="0F6CF112"/>
    <w:lvl w:ilvl="0" w:tplc="E228C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755669"/>
    <w:multiLevelType w:val="hybridMultilevel"/>
    <w:tmpl w:val="4BF21514"/>
    <w:lvl w:ilvl="0" w:tplc="93A6BCDA">
      <w:start w:val="1"/>
      <w:numFmt w:val="upperLetter"/>
      <w:lvlText w:val="(%1)"/>
      <w:lvlJc w:val="left"/>
      <w:pPr>
        <w:tabs>
          <w:tab w:val="num" w:pos="2340"/>
        </w:tabs>
        <w:ind w:left="2340" w:hanging="720"/>
      </w:pPr>
      <w:rPr>
        <w:rFonts w:hint="default"/>
        <w:strike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4947649"/>
    <w:multiLevelType w:val="singleLevel"/>
    <w:tmpl w:val="34F28812"/>
    <w:lvl w:ilvl="0">
      <w:start w:val="1"/>
      <w:numFmt w:val="decimal"/>
      <w:lvlText w:val="%1)"/>
      <w:lvlJc w:val="left"/>
      <w:pPr>
        <w:tabs>
          <w:tab w:val="num" w:pos="2160"/>
        </w:tabs>
        <w:ind w:left="2160" w:hanging="720"/>
      </w:pPr>
      <w:rPr>
        <w:rFonts w:hint="default"/>
      </w:rPr>
    </w:lvl>
  </w:abstractNum>
  <w:abstractNum w:abstractNumId="9" w15:restartNumberingAfterBreak="0">
    <w:nsid w:val="27F51579"/>
    <w:multiLevelType w:val="hybridMultilevel"/>
    <w:tmpl w:val="506000F8"/>
    <w:lvl w:ilvl="0" w:tplc="3394359E">
      <w:start w:val="1"/>
      <w:numFmt w:val="upperLetter"/>
      <w:lvlText w:val="(%1)"/>
      <w:lvlJc w:val="left"/>
      <w:pPr>
        <w:tabs>
          <w:tab w:val="num" w:pos="2340"/>
        </w:tabs>
        <w:ind w:left="23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BF474C"/>
    <w:multiLevelType w:val="singleLevel"/>
    <w:tmpl w:val="08DC240A"/>
    <w:lvl w:ilvl="0">
      <w:start w:val="3"/>
      <w:numFmt w:val="lowerLetter"/>
      <w:lvlText w:val="(%1)"/>
      <w:lvlJc w:val="left"/>
      <w:pPr>
        <w:tabs>
          <w:tab w:val="num" w:pos="1440"/>
        </w:tabs>
        <w:ind w:left="1440" w:hanging="720"/>
      </w:pPr>
      <w:rPr>
        <w:rFonts w:hint="default"/>
      </w:rPr>
    </w:lvl>
  </w:abstractNum>
  <w:abstractNum w:abstractNumId="11" w15:restartNumberingAfterBreak="0">
    <w:nsid w:val="3B8108D6"/>
    <w:multiLevelType w:val="singleLevel"/>
    <w:tmpl w:val="599C274A"/>
    <w:lvl w:ilvl="0">
      <w:start w:val="1"/>
      <w:numFmt w:val="upperLetter"/>
      <w:lvlText w:val="(%1)"/>
      <w:lvlJc w:val="left"/>
      <w:pPr>
        <w:tabs>
          <w:tab w:val="num" w:pos="1080"/>
        </w:tabs>
        <w:ind w:left="1080" w:hanging="360"/>
      </w:pPr>
      <w:rPr>
        <w:rFonts w:hint="default"/>
      </w:rPr>
    </w:lvl>
  </w:abstractNum>
  <w:abstractNum w:abstractNumId="12" w15:restartNumberingAfterBreak="0">
    <w:nsid w:val="3B975051"/>
    <w:multiLevelType w:val="hybridMultilevel"/>
    <w:tmpl w:val="FAD210BA"/>
    <w:lvl w:ilvl="0" w:tplc="EA508A9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3624115"/>
    <w:multiLevelType w:val="hybridMultilevel"/>
    <w:tmpl w:val="1CD449AA"/>
    <w:lvl w:ilvl="0" w:tplc="91F0304C">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03952"/>
    <w:multiLevelType w:val="hybridMultilevel"/>
    <w:tmpl w:val="1F324496"/>
    <w:lvl w:ilvl="0" w:tplc="257A24E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621112F"/>
    <w:multiLevelType w:val="hybridMultilevel"/>
    <w:tmpl w:val="54FCB2B2"/>
    <w:lvl w:ilvl="0" w:tplc="64161BA8">
      <w:start w:val="4"/>
      <w:numFmt w:val="upperLetter"/>
      <w:lvlText w:val="(%1)"/>
      <w:lvlJc w:val="left"/>
      <w:pPr>
        <w:tabs>
          <w:tab w:val="num" w:pos="2160"/>
        </w:tabs>
        <w:ind w:left="2160" w:hanging="72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AE745B"/>
    <w:multiLevelType w:val="singleLevel"/>
    <w:tmpl w:val="48A2D9F8"/>
    <w:lvl w:ilvl="0">
      <w:start w:val="2"/>
      <w:numFmt w:val="lowerLetter"/>
      <w:lvlText w:val="(%1)"/>
      <w:lvlJc w:val="left"/>
      <w:pPr>
        <w:tabs>
          <w:tab w:val="num" w:pos="1260"/>
        </w:tabs>
        <w:ind w:left="1260" w:hanging="540"/>
      </w:pPr>
      <w:rPr>
        <w:rFonts w:hint="default"/>
      </w:rPr>
    </w:lvl>
  </w:abstractNum>
  <w:abstractNum w:abstractNumId="17" w15:restartNumberingAfterBreak="0">
    <w:nsid w:val="4F595367"/>
    <w:multiLevelType w:val="hybridMultilevel"/>
    <w:tmpl w:val="AA924782"/>
    <w:lvl w:ilvl="0" w:tplc="3B546FE2">
      <w:start w:val="1"/>
      <w:numFmt w:val="upperLetter"/>
      <w:lvlText w:val="(%1)"/>
      <w:lvlJc w:val="left"/>
      <w:pPr>
        <w:tabs>
          <w:tab w:val="num" w:pos="2340"/>
        </w:tabs>
        <w:ind w:left="23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3D55063"/>
    <w:multiLevelType w:val="hybridMultilevel"/>
    <w:tmpl w:val="BC745804"/>
    <w:lvl w:ilvl="0" w:tplc="3394359E">
      <w:start w:val="1"/>
      <w:numFmt w:val="upperLetter"/>
      <w:lvlText w:val="(%1)"/>
      <w:lvlJc w:val="left"/>
      <w:pPr>
        <w:tabs>
          <w:tab w:val="num" w:pos="2340"/>
        </w:tabs>
        <w:ind w:left="23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674728A"/>
    <w:multiLevelType w:val="hybridMultilevel"/>
    <w:tmpl w:val="DD34D4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B238C5"/>
    <w:multiLevelType w:val="singleLevel"/>
    <w:tmpl w:val="3BA6CF78"/>
    <w:lvl w:ilvl="0">
      <w:start w:val="1"/>
      <w:numFmt w:val="lowerLetter"/>
      <w:lvlText w:val="(%1)"/>
      <w:lvlJc w:val="left"/>
      <w:pPr>
        <w:tabs>
          <w:tab w:val="num" w:pos="1080"/>
        </w:tabs>
        <w:ind w:left="1080" w:hanging="360"/>
      </w:pPr>
      <w:rPr>
        <w:rFonts w:hint="default"/>
      </w:rPr>
    </w:lvl>
  </w:abstractNum>
  <w:abstractNum w:abstractNumId="21" w15:restartNumberingAfterBreak="0">
    <w:nsid w:val="5A885AE1"/>
    <w:multiLevelType w:val="hybridMultilevel"/>
    <w:tmpl w:val="506000F8"/>
    <w:lvl w:ilvl="0" w:tplc="3394359E">
      <w:start w:val="1"/>
      <w:numFmt w:val="upperLetter"/>
      <w:lvlText w:val="(%1)"/>
      <w:lvlJc w:val="left"/>
      <w:pPr>
        <w:tabs>
          <w:tab w:val="num" w:pos="2340"/>
        </w:tabs>
        <w:ind w:left="23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C365DC6"/>
    <w:multiLevelType w:val="multilevel"/>
    <w:tmpl w:val="63FC2AA0"/>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3" w15:restartNumberingAfterBreak="0">
    <w:nsid w:val="5EB64826"/>
    <w:multiLevelType w:val="singleLevel"/>
    <w:tmpl w:val="2D86D60C"/>
    <w:lvl w:ilvl="0">
      <w:start w:val="1"/>
      <w:numFmt w:val="decimal"/>
      <w:lvlText w:val="(%1)"/>
      <w:lvlJc w:val="left"/>
      <w:pPr>
        <w:tabs>
          <w:tab w:val="num" w:pos="1800"/>
        </w:tabs>
        <w:ind w:left="1800" w:hanging="540"/>
      </w:pPr>
      <w:rPr>
        <w:rFonts w:hint="default"/>
      </w:rPr>
    </w:lvl>
  </w:abstractNum>
  <w:abstractNum w:abstractNumId="24" w15:restartNumberingAfterBreak="0">
    <w:nsid w:val="62B17A58"/>
    <w:multiLevelType w:val="singleLevel"/>
    <w:tmpl w:val="BAF8307E"/>
    <w:lvl w:ilvl="0">
      <w:start w:val="1"/>
      <w:numFmt w:val="decimal"/>
      <w:lvlText w:val="(%1)"/>
      <w:lvlJc w:val="left"/>
      <w:pPr>
        <w:tabs>
          <w:tab w:val="num" w:pos="1515"/>
        </w:tabs>
        <w:ind w:left="1515" w:hanging="360"/>
      </w:pPr>
      <w:rPr>
        <w:rFonts w:hint="default"/>
      </w:rPr>
    </w:lvl>
  </w:abstractNum>
  <w:abstractNum w:abstractNumId="25" w15:restartNumberingAfterBreak="0">
    <w:nsid w:val="668703AE"/>
    <w:multiLevelType w:val="hybridMultilevel"/>
    <w:tmpl w:val="C47C3B6E"/>
    <w:lvl w:ilvl="0" w:tplc="339435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B03722"/>
    <w:multiLevelType w:val="hybridMultilevel"/>
    <w:tmpl w:val="38B27D52"/>
    <w:lvl w:ilvl="0" w:tplc="1EE4638E">
      <w:start w:val="2"/>
      <w:numFmt w:val="upperLetter"/>
      <w:lvlText w:val="(%1)"/>
      <w:lvlJc w:val="left"/>
      <w:pPr>
        <w:tabs>
          <w:tab w:val="num" w:pos="2340"/>
        </w:tabs>
        <w:ind w:left="23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447CB"/>
    <w:multiLevelType w:val="singleLevel"/>
    <w:tmpl w:val="EDD6E53A"/>
    <w:lvl w:ilvl="0">
      <w:start w:val="2"/>
      <w:numFmt w:val="decimal"/>
      <w:lvlText w:val="%1)"/>
      <w:lvlJc w:val="left"/>
      <w:pPr>
        <w:tabs>
          <w:tab w:val="num" w:pos="2160"/>
        </w:tabs>
        <w:ind w:left="2160" w:hanging="720"/>
      </w:pPr>
      <w:rPr>
        <w:rFonts w:hint="default"/>
      </w:rPr>
    </w:lvl>
  </w:abstractNum>
  <w:abstractNum w:abstractNumId="28" w15:restartNumberingAfterBreak="0">
    <w:nsid w:val="6D4A6DA7"/>
    <w:multiLevelType w:val="hybridMultilevel"/>
    <w:tmpl w:val="385A4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CF13B6"/>
    <w:multiLevelType w:val="singleLevel"/>
    <w:tmpl w:val="E04C821C"/>
    <w:lvl w:ilvl="0">
      <w:start w:val="1"/>
      <w:numFmt w:val="lowerLetter"/>
      <w:lvlText w:val="(%1)"/>
      <w:lvlJc w:val="left"/>
      <w:pPr>
        <w:tabs>
          <w:tab w:val="num" w:pos="1080"/>
        </w:tabs>
        <w:ind w:left="1080" w:hanging="360"/>
      </w:pPr>
      <w:rPr>
        <w:rFonts w:hint="default"/>
      </w:rPr>
    </w:lvl>
  </w:abstractNum>
  <w:abstractNum w:abstractNumId="30" w15:restartNumberingAfterBreak="0">
    <w:nsid w:val="79051523"/>
    <w:multiLevelType w:val="hybridMultilevel"/>
    <w:tmpl w:val="4E849062"/>
    <w:lvl w:ilvl="0" w:tplc="463E1848">
      <w:start w:val="2"/>
      <w:numFmt w:val="upperLetter"/>
      <w:lvlText w:val="(%1)"/>
      <w:lvlJc w:val="left"/>
      <w:pPr>
        <w:tabs>
          <w:tab w:val="num" w:pos="2340"/>
        </w:tabs>
        <w:ind w:left="23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719A2"/>
    <w:multiLevelType w:val="hybridMultilevel"/>
    <w:tmpl w:val="28269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2"/>
  </w:num>
  <w:num w:numId="3">
    <w:abstractNumId w:val="24"/>
  </w:num>
  <w:num w:numId="4">
    <w:abstractNumId w:val="10"/>
  </w:num>
  <w:num w:numId="5">
    <w:abstractNumId w:val="11"/>
  </w:num>
  <w:num w:numId="6">
    <w:abstractNumId w:val="16"/>
  </w:num>
  <w:num w:numId="7">
    <w:abstractNumId w:val="23"/>
  </w:num>
  <w:num w:numId="8">
    <w:abstractNumId w:val="29"/>
  </w:num>
  <w:num w:numId="9">
    <w:abstractNumId w:val="20"/>
  </w:num>
  <w:num w:numId="10">
    <w:abstractNumId w:val="22"/>
  </w:num>
  <w:num w:numId="11">
    <w:abstractNumId w:val="8"/>
  </w:num>
  <w:num w:numId="12">
    <w:abstractNumId w:val="5"/>
  </w:num>
  <w:num w:numId="13">
    <w:abstractNumId w:val="12"/>
  </w:num>
  <w:num w:numId="14">
    <w:abstractNumId w:val="3"/>
  </w:num>
  <w:num w:numId="15">
    <w:abstractNumId w:val="14"/>
  </w:num>
  <w:num w:numId="16">
    <w:abstractNumId w:val="19"/>
  </w:num>
  <w:num w:numId="17">
    <w:abstractNumId w:val="15"/>
  </w:num>
  <w:num w:numId="18">
    <w:abstractNumId w:val="1"/>
  </w:num>
  <w:num w:numId="19">
    <w:abstractNumId w:val="13"/>
  </w:num>
  <w:num w:numId="20">
    <w:abstractNumId w:val="6"/>
  </w:num>
  <w:num w:numId="21">
    <w:abstractNumId w:val="30"/>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6"/>
  </w:num>
  <w:num w:numId="25">
    <w:abstractNumId w:val="0"/>
  </w:num>
  <w:num w:numId="26">
    <w:abstractNumId w:val="25"/>
  </w:num>
  <w:num w:numId="27">
    <w:abstractNumId w:val="17"/>
  </w:num>
  <w:num w:numId="28">
    <w:abstractNumId w:val="9"/>
  </w:num>
  <w:num w:numId="29">
    <w:abstractNumId w:val="21"/>
  </w:num>
  <w:num w:numId="30">
    <w:abstractNumId w:val="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27"/>
    <w:rsid w:val="0000264B"/>
    <w:rsid w:val="000029F0"/>
    <w:rsid w:val="0000677A"/>
    <w:rsid w:val="00011994"/>
    <w:rsid w:val="00014FF1"/>
    <w:rsid w:val="000260B8"/>
    <w:rsid w:val="00033573"/>
    <w:rsid w:val="00037674"/>
    <w:rsid w:val="0003783B"/>
    <w:rsid w:val="0004163C"/>
    <w:rsid w:val="000446FF"/>
    <w:rsid w:val="00046A36"/>
    <w:rsid w:val="00060C3C"/>
    <w:rsid w:val="000642B7"/>
    <w:rsid w:val="0006464F"/>
    <w:rsid w:val="00074C14"/>
    <w:rsid w:val="0007569E"/>
    <w:rsid w:val="00076B5E"/>
    <w:rsid w:val="00080F13"/>
    <w:rsid w:val="00084960"/>
    <w:rsid w:val="00087C72"/>
    <w:rsid w:val="00093C95"/>
    <w:rsid w:val="00095061"/>
    <w:rsid w:val="000B3017"/>
    <w:rsid w:val="000B46C7"/>
    <w:rsid w:val="000B4AF0"/>
    <w:rsid w:val="000B59B9"/>
    <w:rsid w:val="000B68AA"/>
    <w:rsid w:val="000B6B8C"/>
    <w:rsid w:val="000C10CF"/>
    <w:rsid w:val="000C32C1"/>
    <w:rsid w:val="000C626F"/>
    <w:rsid w:val="000D3D08"/>
    <w:rsid w:val="000D45FC"/>
    <w:rsid w:val="000D5C6F"/>
    <w:rsid w:val="000D67CB"/>
    <w:rsid w:val="000D7160"/>
    <w:rsid w:val="000E3C03"/>
    <w:rsid w:val="000F3E47"/>
    <w:rsid w:val="000F4AF8"/>
    <w:rsid w:val="0010165E"/>
    <w:rsid w:val="00101F49"/>
    <w:rsid w:val="001065E4"/>
    <w:rsid w:val="0010699A"/>
    <w:rsid w:val="001115AA"/>
    <w:rsid w:val="00112211"/>
    <w:rsid w:val="00114DB4"/>
    <w:rsid w:val="00117832"/>
    <w:rsid w:val="00117F5E"/>
    <w:rsid w:val="001232AD"/>
    <w:rsid w:val="00133799"/>
    <w:rsid w:val="00137CE1"/>
    <w:rsid w:val="0014476F"/>
    <w:rsid w:val="00145A8C"/>
    <w:rsid w:val="00147E3A"/>
    <w:rsid w:val="00147F96"/>
    <w:rsid w:val="00151C9B"/>
    <w:rsid w:val="00152325"/>
    <w:rsid w:val="0015377E"/>
    <w:rsid w:val="00153BD2"/>
    <w:rsid w:val="00154F3B"/>
    <w:rsid w:val="00155613"/>
    <w:rsid w:val="0015791A"/>
    <w:rsid w:val="00162A63"/>
    <w:rsid w:val="001635FB"/>
    <w:rsid w:val="0016549D"/>
    <w:rsid w:val="00167E33"/>
    <w:rsid w:val="00167EAA"/>
    <w:rsid w:val="00170710"/>
    <w:rsid w:val="001755CA"/>
    <w:rsid w:val="0017746E"/>
    <w:rsid w:val="00177DB6"/>
    <w:rsid w:val="00184E6E"/>
    <w:rsid w:val="00186E94"/>
    <w:rsid w:val="001973A2"/>
    <w:rsid w:val="001A5C8C"/>
    <w:rsid w:val="001B03A9"/>
    <w:rsid w:val="001B04F0"/>
    <w:rsid w:val="001B3008"/>
    <w:rsid w:val="001B7D5E"/>
    <w:rsid w:val="001C3E9E"/>
    <w:rsid w:val="001C587D"/>
    <w:rsid w:val="001D0D20"/>
    <w:rsid w:val="001D24BF"/>
    <w:rsid w:val="001D35E1"/>
    <w:rsid w:val="001D4993"/>
    <w:rsid w:val="001E05AE"/>
    <w:rsid w:val="001E2D26"/>
    <w:rsid w:val="001E5A2B"/>
    <w:rsid w:val="001E7D0B"/>
    <w:rsid w:val="001F426B"/>
    <w:rsid w:val="001F4271"/>
    <w:rsid w:val="001F7290"/>
    <w:rsid w:val="00203B70"/>
    <w:rsid w:val="00205429"/>
    <w:rsid w:val="00205E67"/>
    <w:rsid w:val="00206F21"/>
    <w:rsid w:val="002158B7"/>
    <w:rsid w:val="002269B6"/>
    <w:rsid w:val="002278DB"/>
    <w:rsid w:val="00244218"/>
    <w:rsid w:val="00244E7C"/>
    <w:rsid w:val="002503ED"/>
    <w:rsid w:val="00250A5B"/>
    <w:rsid w:val="00252911"/>
    <w:rsid w:val="00263689"/>
    <w:rsid w:val="00265635"/>
    <w:rsid w:val="00265792"/>
    <w:rsid w:val="00265EDD"/>
    <w:rsid w:val="002674B8"/>
    <w:rsid w:val="00270425"/>
    <w:rsid w:val="002715CF"/>
    <w:rsid w:val="002719EA"/>
    <w:rsid w:val="00276504"/>
    <w:rsid w:val="002779B8"/>
    <w:rsid w:val="00281889"/>
    <w:rsid w:val="002820F9"/>
    <w:rsid w:val="00282BD5"/>
    <w:rsid w:val="00286C77"/>
    <w:rsid w:val="0029010D"/>
    <w:rsid w:val="00291626"/>
    <w:rsid w:val="00293C05"/>
    <w:rsid w:val="002A014C"/>
    <w:rsid w:val="002A6796"/>
    <w:rsid w:val="002A7045"/>
    <w:rsid w:val="002A7EB7"/>
    <w:rsid w:val="002B4695"/>
    <w:rsid w:val="002B4C06"/>
    <w:rsid w:val="002B539A"/>
    <w:rsid w:val="002B5557"/>
    <w:rsid w:val="002C11E7"/>
    <w:rsid w:val="002C141B"/>
    <w:rsid w:val="002C17B3"/>
    <w:rsid w:val="002C4C2E"/>
    <w:rsid w:val="002C575E"/>
    <w:rsid w:val="002C65B0"/>
    <w:rsid w:val="002F03E8"/>
    <w:rsid w:val="00303789"/>
    <w:rsid w:val="0030756A"/>
    <w:rsid w:val="003135B8"/>
    <w:rsid w:val="00317DD6"/>
    <w:rsid w:val="00327F48"/>
    <w:rsid w:val="00331E29"/>
    <w:rsid w:val="00332CAA"/>
    <w:rsid w:val="0034377C"/>
    <w:rsid w:val="00346457"/>
    <w:rsid w:val="00350253"/>
    <w:rsid w:val="00354E34"/>
    <w:rsid w:val="00360B4D"/>
    <w:rsid w:val="00363E2D"/>
    <w:rsid w:val="00365D46"/>
    <w:rsid w:val="00370D4D"/>
    <w:rsid w:val="00376804"/>
    <w:rsid w:val="003838DD"/>
    <w:rsid w:val="00391A99"/>
    <w:rsid w:val="003A3350"/>
    <w:rsid w:val="003B0BBF"/>
    <w:rsid w:val="003B7077"/>
    <w:rsid w:val="003D07C9"/>
    <w:rsid w:val="003D3A22"/>
    <w:rsid w:val="003F11B3"/>
    <w:rsid w:val="003F3279"/>
    <w:rsid w:val="003F3BDA"/>
    <w:rsid w:val="003F5609"/>
    <w:rsid w:val="00400099"/>
    <w:rsid w:val="0040009E"/>
    <w:rsid w:val="00402793"/>
    <w:rsid w:val="00402DB6"/>
    <w:rsid w:val="00404C4C"/>
    <w:rsid w:val="0040763B"/>
    <w:rsid w:val="004079D4"/>
    <w:rsid w:val="00407D13"/>
    <w:rsid w:val="004103C9"/>
    <w:rsid w:val="00410D86"/>
    <w:rsid w:val="00423365"/>
    <w:rsid w:val="0042563D"/>
    <w:rsid w:val="00437775"/>
    <w:rsid w:val="004417E1"/>
    <w:rsid w:val="00441C36"/>
    <w:rsid w:val="00450ED8"/>
    <w:rsid w:val="00453738"/>
    <w:rsid w:val="00457BE6"/>
    <w:rsid w:val="004634AF"/>
    <w:rsid w:val="004636CE"/>
    <w:rsid w:val="00464795"/>
    <w:rsid w:val="00466958"/>
    <w:rsid w:val="004724DE"/>
    <w:rsid w:val="0047356A"/>
    <w:rsid w:val="004739ED"/>
    <w:rsid w:val="004802FC"/>
    <w:rsid w:val="00480C1B"/>
    <w:rsid w:val="00481A91"/>
    <w:rsid w:val="00481D36"/>
    <w:rsid w:val="0048565F"/>
    <w:rsid w:val="0048656A"/>
    <w:rsid w:val="004970B7"/>
    <w:rsid w:val="004A3890"/>
    <w:rsid w:val="004B152F"/>
    <w:rsid w:val="004B2C9D"/>
    <w:rsid w:val="004B57EF"/>
    <w:rsid w:val="004C3A08"/>
    <w:rsid w:val="004C4AA2"/>
    <w:rsid w:val="004D6DB1"/>
    <w:rsid w:val="004E6652"/>
    <w:rsid w:val="004E6AFF"/>
    <w:rsid w:val="004F09E6"/>
    <w:rsid w:val="004F1A2E"/>
    <w:rsid w:val="004F457B"/>
    <w:rsid w:val="004F59E9"/>
    <w:rsid w:val="0051772C"/>
    <w:rsid w:val="00523F6C"/>
    <w:rsid w:val="00525944"/>
    <w:rsid w:val="005261CE"/>
    <w:rsid w:val="00526A27"/>
    <w:rsid w:val="00527548"/>
    <w:rsid w:val="00535E92"/>
    <w:rsid w:val="00545B27"/>
    <w:rsid w:val="00546398"/>
    <w:rsid w:val="0055257C"/>
    <w:rsid w:val="0056105A"/>
    <w:rsid w:val="0057621B"/>
    <w:rsid w:val="005809E3"/>
    <w:rsid w:val="005831AC"/>
    <w:rsid w:val="005851AC"/>
    <w:rsid w:val="0058707C"/>
    <w:rsid w:val="005938BD"/>
    <w:rsid w:val="00595508"/>
    <w:rsid w:val="005955A6"/>
    <w:rsid w:val="00595F3B"/>
    <w:rsid w:val="005970C3"/>
    <w:rsid w:val="005B153E"/>
    <w:rsid w:val="005B1C06"/>
    <w:rsid w:val="005B20E8"/>
    <w:rsid w:val="005B3A26"/>
    <w:rsid w:val="005C05E0"/>
    <w:rsid w:val="005C26D0"/>
    <w:rsid w:val="005C39C9"/>
    <w:rsid w:val="005C615C"/>
    <w:rsid w:val="005C6B39"/>
    <w:rsid w:val="005E1E16"/>
    <w:rsid w:val="006004C4"/>
    <w:rsid w:val="00600AEB"/>
    <w:rsid w:val="00601847"/>
    <w:rsid w:val="00602D91"/>
    <w:rsid w:val="00603CCF"/>
    <w:rsid w:val="006051C8"/>
    <w:rsid w:val="006058B7"/>
    <w:rsid w:val="00605EEA"/>
    <w:rsid w:val="00607B85"/>
    <w:rsid w:val="00610E14"/>
    <w:rsid w:val="0062475D"/>
    <w:rsid w:val="00624850"/>
    <w:rsid w:val="00630402"/>
    <w:rsid w:val="006354C6"/>
    <w:rsid w:val="00637408"/>
    <w:rsid w:val="00640C4E"/>
    <w:rsid w:val="00641C45"/>
    <w:rsid w:val="00644B07"/>
    <w:rsid w:val="00644D26"/>
    <w:rsid w:val="00652DFD"/>
    <w:rsid w:val="00657120"/>
    <w:rsid w:val="006605D4"/>
    <w:rsid w:val="00661178"/>
    <w:rsid w:val="00662181"/>
    <w:rsid w:val="00664412"/>
    <w:rsid w:val="00670F0A"/>
    <w:rsid w:val="00671C78"/>
    <w:rsid w:val="00680E91"/>
    <w:rsid w:val="00687E21"/>
    <w:rsid w:val="00690569"/>
    <w:rsid w:val="006912AB"/>
    <w:rsid w:val="00691597"/>
    <w:rsid w:val="00696067"/>
    <w:rsid w:val="00696AA1"/>
    <w:rsid w:val="006A191F"/>
    <w:rsid w:val="006A25C5"/>
    <w:rsid w:val="006A41C8"/>
    <w:rsid w:val="006B0605"/>
    <w:rsid w:val="006B6572"/>
    <w:rsid w:val="006D00EC"/>
    <w:rsid w:val="006D5FF3"/>
    <w:rsid w:val="006E2BE3"/>
    <w:rsid w:val="006E457A"/>
    <w:rsid w:val="006F1434"/>
    <w:rsid w:val="006F4881"/>
    <w:rsid w:val="006F504C"/>
    <w:rsid w:val="006F5F23"/>
    <w:rsid w:val="00706799"/>
    <w:rsid w:val="00710125"/>
    <w:rsid w:val="007122D8"/>
    <w:rsid w:val="0071536C"/>
    <w:rsid w:val="00717877"/>
    <w:rsid w:val="00717C43"/>
    <w:rsid w:val="00720E2F"/>
    <w:rsid w:val="00740479"/>
    <w:rsid w:val="007412C6"/>
    <w:rsid w:val="007447E9"/>
    <w:rsid w:val="00747293"/>
    <w:rsid w:val="007647AF"/>
    <w:rsid w:val="007648B7"/>
    <w:rsid w:val="00767189"/>
    <w:rsid w:val="007711A1"/>
    <w:rsid w:val="00774772"/>
    <w:rsid w:val="00774AC1"/>
    <w:rsid w:val="00775ECA"/>
    <w:rsid w:val="00777888"/>
    <w:rsid w:val="0078117A"/>
    <w:rsid w:val="00782C29"/>
    <w:rsid w:val="007855C0"/>
    <w:rsid w:val="0079102B"/>
    <w:rsid w:val="00793D29"/>
    <w:rsid w:val="00797963"/>
    <w:rsid w:val="007A019F"/>
    <w:rsid w:val="007A1358"/>
    <w:rsid w:val="007A177F"/>
    <w:rsid w:val="007A4DBC"/>
    <w:rsid w:val="007A6DEB"/>
    <w:rsid w:val="007B527F"/>
    <w:rsid w:val="007B6435"/>
    <w:rsid w:val="007C0413"/>
    <w:rsid w:val="007C1132"/>
    <w:rsid w:val="007C5218"/>
    <w:rsid w:val="0081027F"/>
    <w:rsid w:val="00813808"/>
    <w:rsid w:val="00813F53"/>
    <w:rsid w:val="008178CD"/>
    <w:rsid w:val="00825487"/>
    <w:rsid w:val="00826338"/>
    <w:rsid w:val="008269CA"/>
    <w:rsid w:val="008402C5"/>
    <w:rsid w:val="008425AC"/>
    <w:rsid w:val="00845BF5"/>
    <w:rsid w:val="008561AD"/>
    <w:rsid w:val="00860692"/>
    <w:rsid w:val="00886484"/>
    <w:rsid w:val="00891B71"/>
    <w:rsid w:val="00894EEA"/>
    <w:rsid w:val="008A5F68"/>
    <w:rsid w:val="008B181C"/>
    <w:rsid w:val="008B2044"/>
    <w:rsid w:val="008B7F77"/>
    <w:rsid w:val="008C287D"/>
    <w:rsid w:val="008C5C0E"/>
    <w:rsid w:val="008C6089"/>
    <w:rsid w:val="008C63D3"/>
    <w:rsid w:val="008D059A"/>
    <w:rsid w:val="008D3737"/>
    <w:rsid w:val="008E4F6F"/>
    <w:rsid w:val="008E59CD"/>
    <w:rsid w:val="008E6012"/>
    <w:rsid w:val="008E71D0"/>
    <w:rsid w:val="008F3158"/>
    <w:rsid w:val="00900E8D"/>
    <w:rsid w:val="00902A6D"/>
    <w:rsid w:val="009031E2"/>
    <w:rsid w:val="00903D0B"/>
    <w:rsid w:val="00905DFB"/>
    <w:rsid w:val="0090772C"/>
    <w:rsid w:val="009150A7"/>
    <w:rsid w:val="00920479"/>
    <w:rsid w:val="00920CAD"/>
    <w:rsid w:val="00937802"/>
    <w:rsid w:val="009402EC"/>
    <w:rsid w:val="00947351"/>
    <w:rsid w:val="0094782C"/>
    <w:rsid w:val="00947E0C"/>
    <w:rsid w:val="00950DAC"/>
    <w:rsid w:val="00961004"/>
    <w:rsid w:val="00961A71"/>
    <w:rsid w:val="009679B4"/>
    <w:rsid w:val="00976E67"/>
    <w:rsid w:val="00977B2D"/>
    <w:rsid w:val="00982D92"/>
    <w:rsid w:val="0098347C"/>
    <w:rsid w:val="00984789"/>
    <w:rsid w:val="00985F23"/>
    <w:rsid w:val="00997326"/>
    <w:rsid w:val="009A3747"/>
    <w:rsid w:val="009A52EA"/>
    <w:rsid w:val="009B692D"/>
    <w:rsid w:val="009E0490"/>
    <w:rsid w:val="009E229E"/>
    <w:rsid w:val="009E3E87"/>
    <w:rsid w:val="009E406E"/>
    <w:rsid w:val="009E66F9"/>
    <w:rsid w:val="009E6932"/>
    <w:rsid w:val="009F061D"/>
    <w:rsid w:val="009F1E3D"/>
    <w:rsid w:val="009F3653"/>
    <w:rsid w:val="00A00E98"/>
    <w:rsid w:val="00A03549"/>
    <w:rsid w:val="00A06BB8"/>
    <w:rsid w:val="00A07899"/>
    <w:rsid w:val="00A07CB2"/>
    <w:rsid w:val="00A1025C"/>
    <w:rsid w:val="00A13CE7"/>
    <w:rsid w:val="00A14A97"/>
    <w:rsid w:val="00A21AD9"/>
    <w:rsid w:val="00A21CED"/>
    <w:rsid w:val="00A22CE0"/>
    <w:rsid w:val="00A2625A"/>
    <w:rsid w:val="00A2784D"/>
    <w:rsid w:val="00A33201"/>
    <w:rsid w:val="00A36577"/>
    <w:rsid w:val="00A414DF"/>
    <w:rsid w:val="00A4549B"/>
    <w:rsid w:val="00A467F7"/>
    <w:rsid w:val="00A50E85"/>
    <w:rsid w:val="00A517D4"/>
    <w:rsid w:val="00A52664"/>
    <w:rsid w:val="00A55A60"/>
    <w:rsid w:val="00A637EC"/>
    <w:rsid w:val="00A63830"/>
    <w:rsid w:val="00A639BD"/>
    <w:rsid w:val="00A701FB"/>
    <w:rsid w:val="00A75883"/>
    <w:rsid w:val="00A772C4"/>
    <w:rsid w:val="00A8012C"/>
    <w:rsid w:val="00A8095A"/>
    <w:rsid w:val="00AA25A4"/>
    <w:rsid w:val="00AA64FA"/>
    <w:rsid w:val="00AA70B8"/>
    <w:rsid w:val="00AB0B53"/>
    <w:rsid w:val="00AB176B"/>
    <w:rsid w:val="00AB1C3C"/>
    <w:rsid w:val="00AB1FE1"/>
    <w:rsid w:val="00AB4AA9"/>
    <w:rsid w:val="00AB5FC1"/>
    <w:rsid w:val="00AB6860"/>
    <w:rsid w:val="00AC14A0"/>
    <w:rsid w:val="00AC2F7A"/>
    <w:rsid w:val="00AD7FC2"/>
    <w:rsid w:val="00AE03B3"/>
    <w:rsid w:val="00AE08BA"/>
    <w:rsid w:val="00B0045F"/>
    <w:rsid w:val="00B0145E"/>
    <w:rsid w:val="00B04D9F"/>
    <w:rsid w:val="00B1015E"/>
    <w:rsid w:val="00B10686"/>
    <w:rsid w:val="00B125B1"/>
    <w:rsid w:val="00B13E0B"/>
    <w:rsid w:val="00B14E5E"/>
    <w:rsid w:val="00B21DCF"/>
    <w:rsid w:val="00B248C4"/>
    <w:rsid w:val="00B26CE7"/>
    <w:rsid w:val="00B27222"/>
    <w:rsid w:val="00B32998"/>
    <w:rsid w:val="00B37F98"/>
    <w:rsid w:val="00B40CAD"/>
    <w:rsid w:val="00B44EC3"/>
    <w:rsid w:val="00B553F0"/>
    <w:rsid w:val="00B60578"/>
    <w:rsid w:val="00B620F3"/>
    <w:rsid w:val="00B75F36"/>
    <w:rsid w:val="00B7681C"/>
    <w:rsid w:val="00B83858"/>
    <w:rsid w:val="00B94FA6"/>
    <w:rsid w:val="00B97EE6"/>
    <w:rsid w:val="00BA097D"/>
    <w:rsid w:val="00BA0EA0"/>
    <w:rsid w:val="00BA40A0"/>
    <w:rsid w:val="00BA757F"/>
    <w:rsid w:val="00BB3299"/>
    <w:rsid w:val="00BB4DFE"/>
    <w:rsid w:val="00BC51A1"/>
    <w:rsid w:val="00BD000C"/>
    <w:rsid w:val="00BD2E33"/>
    <w:rsid w:val="00BD6925"/>
    <w:rsid w:val="00BE00CC"/>
    <w:rsid w:val="00BE0A60"/>
    <w:rsid w:val="00BE11B9"/>
    <w:rsid w:val="00BE142B"/>
    <w:rsid w:val="00BE3D43"/>
    <w:rsid w:val="00BE4C63"/>
    <w:rsid w:val="00BF2B7D"/>
    <w:rsid w:val="00C07B8D"/>
    <w:rsid w:val="00C1091D"/>
    <w:rsid w:val="00C10994"/>
    <w:rsid w:val="00C12B16"/>
    <w:rsid w:val="00C13D96"/>
    <w:rsid w:val="00C16BBC"/>
    <w:rsid w:val="00C211B1"/>
    <w:rsid w:val="00C21432"/>
    <w:rsid w:val="00C258D2"/>
    <w:rsid w:val="00C2673C"/>
    <w:rsid w:val="00C26DBD"/>
    <w:rsid w:val="00C27764"/>
    <w:rsid w:val="00C457C2"/>
    <w:rsid w:val="00C463AE"/>
    <w:rsid w:val="00C52BF7"/>
    <w:rsid w:val="00C54C84"/>
    <w:rsid w:val="00C63473"/>
    <w:rsid w:val="00C673AB"/>
    <w:rsid w:val="00C72D9D"/>
    <w:rsid w:val="00C737E1"/>
    <w:rsid w:val="00C73FC9"/>
    <w:rsid w:val="00C75B66"/>
    <w:rsid w:val="00C7696E"/>
    <w:rsid w:val="00C87D23"/>
    <w:rsid w:val="00C91338"/>
    <w:rsid w:val="00C93C8F"/>
    <w:rsid w:val="00CA7A8F"/>
    <w:rsid w:val="00CB154A"/>
    <w:rsid w:val="00CB32F7"/>
    <w:rsid w:val="00CB3651"/>
    <w:rsid w:val="00CB4AFA"/>
    <w:rsid w:val="00CC41C9"/>
    <w:rsid w:val="00CC450C"/>
    <w:rsid w:val="00CC46BD"/>
    <w:rsid w:val="00CC5AA5"/>
    <w:rsid w:val="00CD3ADE"/>
    <w:rsid w:val="00CD3EDC"/>
    <w:rsid w:val="00CD548C"/>
    <w:rsid w:val="00CE291D"/>
    <w:rsid w:val="00CE5266"/>
    <w:rsid w:val="00CF07B6"/>
    <w:rsid w:val="00D0051D"/>
    <w:rsid w:val="00D076D5"/>
    <w:rsid w:val="00D07F88"/>
    <w:rsid w:val="00D11569"/>
    <w:rsid w:val="00D12B84"/>
    <w:rsid w:val="00D12C2D"/>
    <w:rsid w:val="00D13003"/>
    <w:rsid w:val="00D23658"/>
    <w:rsid w:val="00D3031D"/>
    <w:rsid w:val="00D30500"/>
    <w:rsid w:val="00D31C24"/>
    <w:rsid w:val="00D42427"/>
    <w:rsid w:val="00D55614"/>
    <w:rsid w:val="00D60854"/>
    <w:rsid w:val="00D72D40"/>
    <w:rsid w:val="00D76864"/>
    <w:rsid w:val="00D801CC"/>
    <w:rsid w:val="00D87184"/>
    <w:rsid w:val="00D91114"/>
    <w:rsid w:val="00D96075"/>
    <w:rsid w:val="00D96974"/>
    <w:rsid w:val="00DA6E9D"/>
    <w:rsid w:val="00DB3EE5"/>
    <w:rsid w:val="00DB5CC6"/>
    <w:rsid w:val="00DC5BF3"/>
    <w:rsid w:val="00DC6318"/>
    <w:rsid w:val="00DD1268"/>
    <w:rsid w:val="00DD31AD"/>
    <w:rsid w:val="00DE3002"/>
    <w:rsid w:val="00DE68B0"/>
    <w:rsid w:val="00DF61E1"/>
    <w:rsid w:val="00E02030"/>
    <w:rsid w:val="00E1112A"/>
    <w:rsid w:val="00E11B29"/>
    <w:rsid w:val="00E12EE4"/>
    <w:rsid w:val="00E13820"/>
    <w:rsid w:val="00E15659"/>
    <w:rsid w:val="00E1774C"/>
    <w:rsid w:val="00E21CE3"/>
    <w:rsid w:val="00E24D43"/>
    <w:rsid w:val="00E303E7"/>
    <w:rsid w:val="00E33E28"/>
    <w:rsid w:val="00E420D3"/>
    <w:rsid w:val="00E45EA5"/>
    <w:rsid w:val="00E46D87"/>
    <w:rsid w:val="00E4758C"/>
    <w:rsid w:val="00E51283"/>
    <w:rsid w:val="00E5363B"/>
    <w:rsid w:val="00E54A44"/>
    <w:rsid w:val="00E562BE"/>
    <w:rsid w:val="00E563A0"/>
    <w:rsid w:val="00E678B3"/>
    <w:rsid w:val="00E87167"/>
    <w:rsid w:val="00E90AC4"/>
    <w:rsid w:val="00E93C4A"/>
    <w:rsid w:val="00E96A6C"/>
    <w:rsid w:val="00EA0295"/>
    <w:rsid w:val="00EA411B"/>
    <w:rsid w:val="00EA55BE"/>
    <w:rsid w:val="00EB48CC"/>
    <w:rsid w:val="00EB60B4"/>
    <w:rsid w:val="00EB6EC6"/>
    <w:rsid w:val="00EC0319"/>
    <w:rsid w:val="00EC46AD"/>
    <w:rsid w:val="00EC7C4B"/>
    <w:rsid w:val="00ED0A6D"/>
    <w:rsid w:val="00ED1980"/>
    <w:rsid w:val="00EE2167"/>
    <w:rsid w:val="00EE4DB1"/>
    <w:rsid w:val="00EE6138"/>
    <w:rsid w:val="00EF1E68"/>
    <w:rsid w:val="00F077A1"/>
    <w:rsid w:val="00F1090F"/>
    <w:rsid w:val="00F14EC1"/>
    <w:rsid w:val="00F17DC0"/>
    <w:rsid w:val="00F2004E"/>
    <w:rsid w:val="00F214A7"/>
    <w:rsid w:val="00F21E61"/>
    <w:rsid w:val="00F33C9F"/>
    <w:rsid w:val="00F37753"/>
    <w:rsid w:val="00F40607"/>
    <w:rsid w:val="00F428BA"/>
    <w:rsid w:val="00F45D80"/>
    <w:rsid w:val="00F625D3"/>
    <w:rsid w:val="00F64E05"/>
    <w:rsid w:val="00F81A3A"/>
    <w:rsid w:val="00F81AEB"/>
    <w:rsid w:val="00F8404F"/>
    <w:rsid w:val="00F842F1"/>
    <w:rsid w:val="00F9045D"/>
    <w:rsid w:val="00F910C3"/>
    <w:rsid w:val="00F93959"/>
    <w:rsid w:val="00FA3269"/>
    <w:rsid w:val="00FA5BEF"/>
    <w:rsid w:val="00FB200B"/>
    <w:rsid w:val="00FB3863"/>
    <w:rsid w:val="00FC39BF"/>
    <w:rsid w:val="00FC48E0"/>
    <w:rsid w:val="00FC73B4"/>
    <w:rsid w:val="00FD7288"/>
    <w:rsid w:val="00FD75E8"/>
    <w:rsid w:val="00FE39CC"/>
    <w:rsid w:val="00FE74A0"/>
    <w:rsid w:val="00FF58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C2F6CF"/>
  <w15:docId w15:val="{AE7646E7-756F-43D2-B5A1-4664B5B4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E9E"/>
    <w:pPr>
      <w:widowControl w:val="0"/>
    </w:pPr>
    <w:rPr>
      <w:rFonts w:ascii="Univers" w:hAnsi="Univers"/>
      <w:snapToGrid w:val="0"/>
      <w:sz w:val="24"/>
      <w:lang w:eastAsia="en-US"/>
    </w:rPr>
  </w:style>
  <w:style w:type="paragraph" w:styleId="Heading1">
    <w:name w:val="heading 1"/>
    <w:basedOn w:val="Normal"/>
    <w:next w:val="Normal"/>
    <w:qFormat/>
    <w:rsid w:val="001C3E9E"/>
    <w:pPr>
      <w:keepNext/>
      <w:jc w:val="both"/>
      <w:outlineLvl w:val="0"/>
    </w:pPr>
    <w:rPr>
      <w:b/>
      <w:u w:val="single"/>
    </w:rPr>
  </w:style>
  <w:style w:type="paragraph" w:styleId="Heading2">
    <w:name w:val="heading 2"/>
    <w:basedOn w:val="Normal"/>
    <w:next w:val="Normal"/>
    <w:qFormat/>
    <w:rsid w:val="001C3E9E"/>
    <w:pPr>
      <w:keepNext/>
      <w:jc w:val="both"/>
      <w:outlineLvl w:val="1"/>
    </w:pPr>
    <w:rPr>
      <w:b/>
      <w:sz w:val="16"/>
    </w:rPr>
  </w:style>
  <w:style w:type="paragraph" w:styleId="Heading3">
    <w:name w:val="heading 3"/>
    <w:basedOn w:val="Normal"/>
    <w:next w:val="Normal"/>
    <w:qFormat/>
    <w:rsid w:val="001C3E9E"/>
    <w:pPr>
      <w:keepNext/>
      <w:tabs>
        <w:tab w:val="left" w:pos="-1440"/>
      </w:tabs>
      <w:jc w:val="center"/>
      <w:outlineLvl w:val="2"/>
    </w:pPr>
    <w:rPr>
      <w:u w:val="single"/>
    </w:rPr>
  </w:style>
  <w:style w:type="paragraph" w:styleId="Heading4">
    <w:name w:val="heading 4"/>
    <w:basedOn w:val="Normal"/>
    <w:next w:val="Normal"/>
    <w:qFormat/>
    <w:rsid w:val="001C3E9E"/>
    <w:pPr>
      <w:keepNext/>
      <w:ind w:firstLine="1440"/>
      <w:jc w:val="both"/>
      <w:outlineLvl w:val="3"/>
    </w:pPr>
    <w:rPr>
      <w:b/>
      <w:bCs/>
    </w:rPr>
  </w:style>
  <w:style w:type="paragraph" w:styleId="Heading5">
    <w:name w:val="heading 5"/>
    <w:basedOn w:val="Normal"/>
    <w:next w:val="Normal"/>
    <w:qFormat/>
    <w:rsid w:val="001C3E9E"/>
    <w:pPr>
      <w:keepNext/>
      <w:ind w:left="720"/>
      <w:jc w:val="both"/>
      <w:outlineLvl w:val="4"/>
    </w:pPr>
    <w:rPr>
      <w:b/>
      <w:u w:val="single"/>
    </w:rPr>
  </w:style>
  <w:style w:type="paragraph" w:styleId="Heading6">
    <w:name w:val="heading 6"/>
    <w:basedOn w:val="Normal"/>
    <w:next w:val="Normal"/>
    <w:qFormat/>
    <w:rsid w:val="001C3E9E"/>
    <w:pPr>
      <w:keepNext/>
      <w:ind w:firstLine="720"/>
      <w:outlineLvl w:val="5"/>
    </w:pPr>
    <w:rPr>
      <w:b/>
      <w:bCs/>
    </w:rPr>
  </w:style>
  <w:style w:type="paragraph" w:styleId="Heading7">
    <w:name w:val="heading 7"/>
    <w:basedOn w:val="Normal"/>
    <w:next w:val="Normal"/>
    <w:qFormat/>
    <w:rsid w:val="001C3E9E"/>
    <w:pPr>
      <w:keepNext/>
      <w:ind w:firstLine="720"/>
      <w:jc w:val="both"/>
      <w:outlineLvl w:val="6"/>
    </w:pPr>
    <w:rPr>
      <w:b/>
      <w:bCs/>
    </w:rPr>
  </w:style>
  <w:style w:type="paragraph" w:styleId="Heading8">
    <w:name w:val="heading 8"/>
    <w:basedOn w:val="Normal"/>
    <w:next w:val="Normal"/>
    <w:qFormat/>
    <w:rsid w:val="001C3E9E"/>
    <w:pPr>
      <w:keepNext/>
      <w:ind w:left="2160" w:hanging="1440"/>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3E9E"/>
  </w:style>
  <w:style w:type="paragraph" w:styleId="BodyText">
    <w:name w:val="Body Text"/>
    <w:basedOn w:val="Normal"/>
    <w:rsid w:val="001C3E9E"/>
    <w:pPr>
      <w:jc w:val="both"/>
    </w:pPr>
    <w:rPr>
      <w:b/>
      <w:u w:val="single"/>
    </w:rPr>
  </w:style>
  <w:style w:type="paragraph" w:styleId="BodyText2">
    <w:name w:val="Body Text 2"/>
    <w:basedOn w:val="Normal"/>
    <w:rsid w:val="001C3E9E"/>
    <w:pPr>
      <w:jc w:val="both"/>
    </w:pPr>
    <w:rPr>
      <w:sz w:val="16"/>
    </w:rPr>
  </w:style>
  <w:style w:type="paragraph" w:styleId="BodyTextIndent">
    <w:name w:val="Body Text Indent"/>
    <w:basedOn w:val="Normal"/>
    <w:rsid w:val="001C3E9E"/>
    <w:pPr>
      <w:ind w:firstLine="720"/>
      <w:jc w:val="both"/>
    </w:pPr>
  </w:style>
  <w:style w:type="paragraph" w:styleId="BodyText3">
    <w:name w:val="Body Text 3"/>
    <w:basedOn w:val="Normal"/>
    <w:rsid w:val="001C3E9E"/>
    <w:pPr>
      <w:tabs>
        <w:tab w:val="left" w:pos="-1440"/>
      </w:tabs>
      <w:jc w:val="both"/>
    </w:pPr>
  </w:style>
  <w:style w:type="paragraph" w:styleId="BodyTextIndent2">
    <w:name w:val="Body Text Indent 2"/>
    <w:basedOn w:val="Normal"/>
    <w:rsid w:val="001C3E9E"/>
    <w:pPr>
      <w:ind w:left="720"/>
      <w:jc w:val="both"/>
    </w:pPr>
  </w:style>
  <w:style w:type="paragraph" w:styleId="BlockText">
    <w:name w:val="Block Text"/>
    <w:basedOn w:val="Normal"/>
    <w:rsid w:val="001C3E9E"/>
    <w:pPr>
      <w:widowControl/>
      <w:ind w:left="720" w:right="270"/>
    </w:pPr>
    <w:rPr>
      <w:snapToGrid/>
    </w:rPr>
  </w:style>
  <w:style w:type="paragraph" w:styleId="Header">
    <w:name w:val="header"/>
    <w:basedOn w:val="Normal"/>
    <w:rsid w:val="001C3E9E"/>
    <w:pPr>
      <w:tabs>
        <w:tab w:val="center" w:pos="4320"/>
        <w:tab w:val="right" w:pos="8640"/>
      </w:tabs>
    </w:pPr>
  </w:style>
  <w:style w:type="paragraph" w:styleId="Footer">
    <w:name w:val="footer"/>
    <w:basedOn w:val="Normal"/>
    <w:rsid w:val="001C3E9E"/>
    <w:pPr>
      <w:tabs>
        <w:tab w:val="center" w:pos="4320"/>
        <w:tab w:val="right" w:pos="8640"/>
      </w:tabs>
    </w:pPr>
  </w:style>
  <w:style w:type="paragraph" w:styleId="BodyTextIndent3">
    <w:name w:val="Body Text Indent 3"/>
    <w:basedOn w:val="Normal"/>
    <w:rsid w:val="001C3E9E"/>
    <w:pPr>
      <w:ind w:left="2160" w:hanging="720"/>
      <w:jc w:val="both"/>
    </w:pPr>
  </w:style>
  <w:style w:type="paragraph" w:styleId="BalloonText">
    <w:name w:val="Balloon Text"/>
    <w:basedOn w:val="Normal"/>
    <w:semiHidden/>
    <w:rsid w:val="001C3E9E"/>
    <w:rPr>
      <w:rFonts w:ascii="Tahoma" w:hAnsi="Tahoma" w:cs="Tahoma"/>
      <w:sz w:val="16"/>
      <w:szCs w:val="16"/>
    </w:rPr>
  </w:style>
  <w:style w:type="paragraph" w:styleId="Title">
    <w:name w:val="Title"/>
    <w:basedOn w:val="Normal"/>
    <w:qFormat/>
    <w:rsid w:val="001C3E9E"/>
    <w:pPr>
      <w:tabs>
        <w:tab w:val="center" w:pos="4680"/>
      </w:tabs>
      <w:jc w:val="center"/>
    </w:pPr>
    <w:rPr>
      <w:b/>
    </w:rPr>
  </w:style>
  <w:style w:type="character" w:styleId="PageNumber">
    <w:name w:val="page number"/>
    <w:basedOn w:val="DefaultParagraphFont"/>
    <w:rsid w:val="001C3E9E"/>
  </w:style>
  <w:style w:type="table" w:styleId="TableGrid">
    <w:name w:val="Table Grid"/>
    <w:basedOn w:val="TableNormal"/>
    <w:rsid w:val="001C3E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C3E9E"/>
    <w:rPr>
      <w:sz w:val="16"/>
      <w:szCs w:val="16"/>
    </w:rPr>
  </w:style>
  <w:style w:type="paragraph" w:styleId="CommentText">
    <w:name w:val="annotation text"/>
    <w:basedOn w:val="Normal"/>
    <w:semiHidden/>
    <w:rsid w:val="001C3E9E"/>
    <w:rPr>
      <w:sz w:val="20"/>
    </w:rPr>
  </w:style>
  <w:style w:type="paragraph" w:styleId="CommentSubject">
    <w:name w:val="annotation subject"/>
    <w:basedOn w:val="CommentText"/>
    <w:next w:val="CommentText"/>
    <w:semiHidden/>
    <w:rsid w:val="001C3E9E"/>
    <w:rPr>
      <w:b/>
      <w:bCs/>
    </w:rPr>
  </w:style>
  <w:style w:type="paragraph" w:styleId="DocumentMap">
    <w:name w:val="Document Map"/>
    <w:basedOn w:val="Normal"/>
    <w:semiHidden/>
    <w:rsid w:val="001C3E9E"/>
    <w:pPr>
      <w:shd w:val="clear" w:color="auto" w:fill="000080"/>
    </w:pPr>
    <w:rPr>
      <w:rFonts w:ascii="Tahoma" w:hAnsi="Tahoma" w:cs="Tahoma"/>
      <w:sz w:val="20"/>
    </w:rPr>
  </w:style>
  <w:style w:type="paragraph" w:styleId="Caption">
    <w:name w:val="caption"/>
    <w:basedOn w:val="Normal"/>
    <w:next w:val="Normal"/>
    <w:unhideWhenUsed/>
    <w:qFormat/>
    <w:rsid w:val="009E66F9"/>
    <w:pPr>
      <w:spacing w:after="200"/>
    </w:pPr>
    <w:rPr>
      <w:b/>
      <w:bCs/>
      <w:color w:val="4F81BD" w:themeColor="accent1"/>
      <w:sz w:val="18"/>
      <w:szCs w:val="18"/>
    </w:rPr>
  </w:style>
  <w:style w:type="paragraph" w:styleId="ListParagraph">
    <w:name w:val="List Paragraph"/>
    <w:basedOn w:val="Normal"/>
    <w:uiPriority w:val="34"/>
    <w:qFormat/>
    <w:rsid w:val="0048565F"/>
    <w:pPr>
      <w:ind w:left="720"/>
      <w:contextualSpacing/>
    </w:pPr>
  </w:style>
  <w:style w:type="character" w:styleId="PlaceholderText">
    <w:name w:val="Placeholder Text"/>
    <w:basedOn w:val="DefaultParagraphFont"/>
    <w:uiPriority w:val="99"/>
    <w:semiHidden/>
    <w:rsid w:val="009B692D"/>
    <w:rPr>
      <w:color w:val="808080"/>
    </w:rPr>
  </w:style>
  <w:style w:type="character" w:customStyle="1" w:styleId="BodyTextLADWPChar">
    <w:name w:val="Body Text LADWP Char"/>
    <w:basedOn w:val="DefaultParagraphFont"/>
    <w:link w:val="BodyTextLADWP"/>
    <w:locked/>
    <w:rsid w:val="00A1025C"/>
    <w:rPr>
      <w:rFonts w:ascii="Book Antiqua" w:eastAsia="Calibri" w:hAnsi="Book Antiqua" w:cs="Calibri"/>
      <w:bCs/>
      <w:iCs/>
      <w:sz w:val="22"/>
      <w:szCs w:val="22"/>
    </w:rPr>
  </w:style>
  <w:style w:type="paragraph" w:customStyle="1" w:styleId="BodyTextLADWP">
    <w:name w:val="Body Text LADWP"/>
    <w:basedOn w:val="Normal"/>
    <w:link w:val="BodyTextLADWPChar"/>
    <w:qFormat/>
    <w:rsid w:val="00A1025C"/>
    <w:pPr>
      <w:widowControl/>
      <w:spacing w:after="200"/>
    </w:pPr>
    <w:rPr>
      <w:rFonts w:ascii="Book Antiqua" w:eastAsia="Calibri" w:hAnsi="Book Antiqua" w:cs="Calibri"/>
      <w:bCs/>
      <w:iCs/>
      <w:snapToGrid/>
      <w:sz w:val="22"/>
      <w:szCs w:val="22"/>
      <w:lang w:eastAsia="ko-KR"/>
    </w:rPr>
  </w:style>
  <w:style w:type="paragraph" w:styleId="Revision">
    <w:name w:val="Revision"/>
    <w:hidden/>
    <w:uiPriority w:val="99"/>
    <w:semiHidden/>
    <w:rsid w:val="00640C4E"/>
    <w:rPr>
      <w:rFonts w:ascii="Univers" w:hAnsi="Univers"/>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1223">
      <w:bodyDiv w:val="1"/>
      <w:marLeft w:val="0"/>
      <w:marRight w:val="0"/>
      <w:marTop w:val="0"/>
      <w:marBottom w:val="0"/>
      <w:divBdr>
        <w:top w:val="none" w:sz="0" w:space="0" w:color="auto"/>
        <w:left w:val="none" w:sz="0" w:space="0" w:color="auto"/>
        <w:bottom w:val="none" w:sz="0" w:space="0" w:color="auto"/>
        <w:right w:val="none" w:sz="0" w:space="0" w:color="auto"/>
      </w:divBdr>
    </w:div>
    <w:div w:id="125632711">
      <w:bodyDiv w:val="1"/>
      <w:marLeft w:val="0"/>
      <w:marRight w:val="0"/>
      <w:marTop w:val="0"/>
      <w:marBottom w:val="0"/>
      <w:divBdr>
        <w:top w:val="none" w:sz="0" w:space="0" w:color="auto"/>
        <w:left w:val="none" w:sz="0" w:space="0" w:color="auto"/>
        <w:bottom w:val="none" w:sz="0" w:space="0" w:color="auto"/>
        <w:right w:val="none" w:sz="0" w:space="0" w:color="auto"/>
      </w:divBdr>
    </w:div>
    <w:div w:id="248078346">
      <w:bodyDiv w:val="1"/>
      <w:marLeft w:val="0"/>
      <w:marRight w:val="0"/>
      <w:marTop w:val="0"/>
      <w:marBottom w:val="0"/>
      <w:divBdr>
        <w:top w:val="none" w:sz="0" w:space="0" w:color="auto"/>
        <w:left w:val="none" w:sz="0" w:space="0" w:color="auto"/>
        <w:bottom w:val="none" w:sz="0" w:space="0" w:color="auto"/>
        <w:right w:val="none" w:sz="0" w:space="0" w:color="auto"/>
      </w:divBdr>
    </w:div>
    <w:div w:id="552809157">
      <w:bodyDiv w:val="1"/>
      <w:marLeft w:val="0"/>
      <w:marRight w:val="0"/>
      <w:marTop w:val="0"/>
      <w:marBottom w:val="0"/>
      <w:divBdr>
        <w:top w:val="none" w:sz="0" w:space="0" w:color="auto"/>
        <w:left w:val="none" w:sz="0" w:space="0" w:color="auto"/>
        <w:bottom w:val="none" w:sz="0" w:space="0" w:color="auto"/>
        <w:right w:val="none" w:sz="0" w:space="0" w:color="auto"/>
      </w:divBdr>
    </w:div>
    <w:div w:id="628511897">
      <w:bodyDiv w:val="1"/>
      <w:marLeft w:val="0"/>
      <w:marRight w:val="0"/>
      <w:marTop w:val="0"/>
      <w:marBottom w:val="0"/>
      <w:divBdr>
        <w:top w:val="none" w:sz="0" w:space="0" w:color="auto"/>
        <w:left w:val="none" w:sz="0" w:space="0" w:color="auto"/>
        <w:bottom w:val="none" w:sz="0" w:space="0" w:color="auto"/>
        <w:right w:val="none" w:sz="0" w:space="0" w:color="auto"/>
      </w:divBdr>
    </w:div>
    <w:div w:id="778649458">
      <w:bodyDiv w:val="1"/>
      <w:marLeft w:val="0"/>
      <w:marRight w:val="0"/>
      <w:marTop w:val="0"/>
      <w:marBottom w:val="0"/>
      <w:divBdr>
        <w:top w:val="none" w:sz="0" w:space="0" w:color="auto"/>
        <w:left w:val="none" w:sz="0" w:space="0" w:color="auto"/>
        <w:bottom w:val="none" w:sz="0" w:space="0" w:color="auto"/>
        <w:right w:val="none" w:sz="0" w:space="0" w:color="auto"/>
      </w:divBdr>
    </w:div>
    <w:div w:id="914825881">
      <w:bodyDiv w:val="1"/>
      <w:marLeft w:val="0"/>
      <w:marRight w:val="0"/>
      <w:marTop w:val="0"/>
      <w:marBottom w:val="0"/>
      <w:divBdr>
        <w:top w:val="none" w:sz="0" w:space="0" w:color="auto"/>
        <w:left w:val="none" w:sz="0" w:space="0" w:color="auto"/>
        <w:bottom w:val="none" w:sz="0" w:space="0" w:color="auto"/>
        <w:right w:val="none" w:sz="0" w:space="0" w:color="auto"/>
      </w:divBdr>
    </w:div>
    <w:div w:id="1090007524">
      <w:bodyDiv w:val="1"/>
      <w:marLeft w:val="0"/>
      <w:marRight w:val="0"/>
      <w:marTop w:val="0"/>
      <w:marBottom w:val="0"/>
      <w:divBdr>
        <w:top w:val="none" w:sz="0" w:space="0" w:color="auto"/>
        <w:left w:val="none" w:sz="0" w:space="0" w:color="auto"/>
        <w:bottom w:val="none" w:sz="0" w:space="0" w:color="auto"/>
        <w:right w:val="none" w:sz="0" w:space="0" w:color="auto"/>
      </w:divBdr>
    </w:div>
    <w:div w:id="1131553125">
      <w:bodyDiv w:val="1"/>
      <w:marLeft w:val="0"/>
      <w:marRight w:val="0"/>
      <w:marTop w:val="0"/>
      <w:marBottom w:val="0"/>
      <w:divBdr>
        <w:top w:val="none" w:sz="0" w:space="0" w:color="auto"/>
        <w:left w:val="none" w:sz="0" w:space="0" w:color="auto"/>
        <w:bottom w:val="none" w:sz="0" w:space="0" w:color="auto"/>
        <w:right w:val="none" w:sz="0" w:space="0" w:color="auto"/>
      </w:divBdr>
    </w:div>
    <w:div w:id="1471021341">
      <w:bodyDiv w:val="1"/>
      <w:marLeft w:val="0"/>
      <w:marRight w:val="0"/>
      <w:marTop w:val="0"/>
      <w:marBottom w:val="0"/>
      <w:divBdr>
        <w:top w:val="none" w:sz="0" w:space="0" w:color="auto"/>
        <w:left w:val="none" w:sz="0" w:space="0" w:color="auto"/>
        <w:bottom w:val="none" w:sz="0" w:space="0" w:color="auto"/>
        <w:right w:val="none" w:sz="0" w:space="0" w:color="auto"/>
      </w:divBdr>
    </w:div>
    <w:div w:id="1573851168">
      <w:bodyDiv w:val="1"/>
      <w:marLeft w:val="0"/>
      <w:marRight w:val="0"/>
      <w:marTop w:val="0"/>
      <w:marBottom w:val="0"/>
      <w:divBdr>
        <w:top w:val="none" w:sz="0" w:space="0" w:color="auto"/>
        <w:left w:val="none" w:sz="0" w:space="0" w:color="auto"/>
        <w:bottom w:val="none" w:sz="0" w:space="0" w:color="auto"/>
        <w:right w:val="none" w:sz="0" w:space="0" w:color="auto"/>
      </w:divBdr>
    </w:div>
    <w:div w:id="1616055047">
      <w:bodyDiv w:val="1"/>
      <w:marLeft w:val="0"/>
      <w:marRight w:val="0"/>
      <w:marTop w:val="0"/>
      <w:marBottom w:val="0"/>
      <w:divBdr>
        <w:top w:val="none" w:sz="0" w:space="0" w:color="auto"/>
        <w:left w:val="none" w:sz="0" w:space="0" w:color="auto"/>
        <w:bottom w:val="none" w:sz="0" w:space="0" w:color="auto"/>
        <w:right w:val="none" w:sz="0" w:space="0" w:color="auto"/>
      </w:divBdr>
    </w:div>
    <w:div w:id="1627421605">
      <w:bodyDiv w:val="1"/>
      <w:marLeft w:val="0"/>
      <w:marRight w:val="0"/>
      <w:marTop w:val="0"/>
      <w:marBottom w:val="0"/>
      <w:divBdr>
        <w:top w:val="none" w:sz="0" w:space="0" w:color="auto"/>
        <w:left w:val="none" w:sz="0" w:space="0" w:color="auto"/>
        <w:bottom w:val="none" w:sz="0" w:space="0" w:color="auto"/>
        <w:right w:val="none" w:sz="0" w:space="0" w:color="auto"/>
      </w:divBdr>
    </w:div>
    <w:div w:id="1750884733">
      <w:bodyDiv w:val="1"/>
      <w:marLeft w:val="0"/>
      <w:marRight w:val="0"/>
      <w:marTop w:val="0"/>
      <w:marBottom w:val="0"/>
      <w:divBdr>
        <w:top w:val="none" w:sz="0" w:space="0" w:color="auto"/>
        <w:left w:val="none" w:sz="0" w:space="0" w:color="auto"/>
        <w:bottom w:val="none" w:sz="0" w:space="0" w:color="auto"/>
        <w:right w:val="none" w:sz="0" w:space="0" w:color="auto"/>
      </w:divBdr>
    </w:div>
    <w:div w:id="1953240082">
      <w:bodyDiv w:val="1"/>
      <w:marLeft w:val="0"/>
      <w:marRight w:val="0"/>
      <w:marTop w:val="0"/>
      <w:marBottom w:val="0"/>
      <w:divBdr>
        <w:top w:val="none" w:sz="0" w:space="0" w:color="auto"/>
        <w:left w:val="none" w:sz="0" w:space="0" w:color="auto"/>
        <w:bottom w:val="none" w:sz="0" w:space="0" w:color="auto"/>
        <w:right w:val="none" w:sz="0" w:space="0" w:color="auto"/>
      </w:divBdr>
    </w:div>
    <w:div w:id="2089307456">
      <w:bodyDiv w:val="1"/>
      <w:marLeft w:val="0"/>
      <w:marRight w:val="0"/>
      <w:marTop w:val="0"/>
      <w:marBottom w:val="0"/>
      <w:divBdr>
        <w:top w:val="none" w:sz="0" w:space="0" w:color="auto"/>
        <w:left w:val="none" w:sz="0" w:space="0" w:color="auto"/>
        <w:bottom w:val="none" w:sz="0" w:space="0" w:color="auto"/>
        <w:right w:val="none" w:sz="0" w:space="0" w:color="auto"/>
      </w:divBdr>
    </w:div>
    <w:div w:id="20946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8329-D56D-4E62-9839-9E17BE46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1488</Words>
  <Characters>8575</Characters>
  <Application>Microsoft Office Word</Application>
  <DocSecurity>6</DocSecurity>
  <Lines>71</Lines>
  <Paragraphs>20</Paragraphs>
  <ScaleCrop>false</ScaleCrop>
  <HeadingPairs>
    <vt:vector size="2" baseType="variant">
      <vt:variant>
        <vt:lpstr>Title</vt:lpstr>
      </vt:variant>
      <vt:variant>
        <vt:i4>1</vt:i4>
      </vt:variant>
    </vt:vector>
  </HeadingPairs>
  <TitlesOfParts>
    <vt:vector size="1" baseType="lpstr">
      <vt:lpstr>FY13-14 NRW Rate Resolution</vt:lpstr>
    </vt:vector>
  </TitlesOfParts>
  <Company>IEUA</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FY13-14 NRW Rate Resolution</dc:title>
  <dc:creator>Julio Im</dc:creator>
  <dc:description>2013-04-30 Draft NRWS Rates</dc:description>
  <cp:lastModifiedBy>Jennifer Hy-Luk</cp:lastModifiedBy>
  <cp:revision>2</cp:revision>
  <cp:lastPrinted>2018-06-06T23:12:00Z</cp:lastPrinted>
  <dcterms:created xsi:type="dcterms:W3CDTF">2019-06-04T20:30:00Z</dcterms:created>
  <dcterms:modified xsi:type="dcterms:W3CDTF">2019-06-04T20:30:00Z</dcterms:modified>
  <cp:contentStatus/>
</cp:coreProperties>
</file>