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49E4E" w14:textId="7A84265A" w:rsidR="00DE5473" w:rsidRDefault="007C2CA5" w:rsidP="009F7797">
      <w:pPr>
        <w:jc w:val="both"/>
        <w:rPr>
          <w:szCs w:val="24"/>
        </w:rPr>
      </w:pPr>
      <w:r>
        <w:rPr>
          <w:rFonts w:ascii="Times" w:hAnsi="Times"/>
        </w:rPr>
        <w:t xml:space="preserve">Subject: </w:t>
      </w:r>
      <w:r w:rsidR="00DE5473">
        <w:rPr>
          <w:szCs w:val="24"/>
        </w:rPr>
        <w:t>Adoption of the Agency’s Biennial Budget for Fiscal Years (FYs) 2019/20 and 2020/21, and FYs 2020-2029 Ten Year Capital Improvement Plan</w:t>
      </w:r>
    </w:p>
    <w:p w14:paraId="461C2271" w14:textId="77777777" w:rsidR="00435355" w:rsidRPr="00ED19CC" w:rsidRDefault="00792613" w:rsidP="00792613">
      <w:pPr>
        <w:pBdr>
          <w:bottom w:val="single" w:sz="12" w:space="1" w:color="auto"/>
        </w:pBdr>
        <w:tabs>
          <w:tab w:val="left" w:pos="7440"/>
        </w:tabs>
        <w:jc w:val="both"/>
        <w:rPr>
          <w:rFonts w:ascii="Times" w:hAnsi="Times"/>
        </w:rPr>
      </w:pPr>
      <w:r>
        <w:rPr>
          <w:rFonts w:ascii="Times" w:hAnsi="Times"/>
        </w:rPr>
        <w:tab/>
      </w:r>
    </w:p>
    <w:p w14:paraId="4062364C" w14:textId="5B4E8A56" w:rsidR="00435355" w:rsidRDefault="00435355" w:rsidP="00170631">
      <w:pPr>
        <w:jc w:val="both"/>
        <w:rPr>
          <w:rFonts w:ascii="Times" w:hAnsi="Times"/>
        </w:rPr>
      </w:pPr>
    </w:p>
    <w:p w14:paraId="7D7856DE" w14:textId="7B2C9018" w:rsidR="002608E3" w:rsidRPr="00D34A79" w:rsidRDefault="002608E3" w:rsidP="002608E3">
      <w:pPr>
        <w:pStyle w:val="HTMLPreformatted"/>
        <w:spacing w:line="288" w:lineRule="atLeast"/>
        <w:jc w:val="both"/>
        <w:rPr>
          <w:rFonts w:ascii="Times New Roman" w:hAnsi="Times New Roman" w:cs="Times New Roman"/>
          <w:b/>
          <w:sz w:val="24"/>
          <w:szCs w:val="24"/>
        </w:rPr>
      </w:pPr>
      <w:r w:rsidRPr="00D34A79">
        <w:rPr>
          <w:rFonts w:ascii="Times New Roman" w:hAnsi="Times New Roman" w:cs="Times New Roman"/>
          <w:b/>
          <w:sz w:val="24"/>
          <w:szCs w:val="24"/>
        </w:rPr>
        <w:t>FY 2019/20 Rate Resolutions</w:t>
      </w:r>
    </w:p>
    <w:p w14:paraId="0CA97AD6" w14:textId="77777777" w:rsidR="002608E3" w:rsidRDefault="002608E3" w:rsidP="002608E3">
      <w:pPr>
        <w:pStyle w:val="HTMLPreformatted"/>
        <w:spacing w:line="288" w:lineRule="atLeast"/>
        <w:jc w:val="both"/>
        <w:rPr>
          <w:rFonts w:ascii="Times New Roman" w:hAnsi="Times New Roman" w:cs="Times New Roman"/>
          <w:b/>
          <w:sz w:val="24"/>
          <w:szCs w:val="24"/>
          <w:u w:val="single"/>
        </w:rPr>
      </w:pPr>
    </w:p>
    <w:p w14:paraId="5CDA24B4" w14:textId="699689F0" w:rsidR="002608E3" w:rsidRPr="00EE1E49" w:rsidRDefault="002608E3" w:rsidP="002608E3">
      <w:pPr>
        <w:pStyle w:val="HTMLPreformatted"/>
        <w:spacing w:line="288" w:lineRule="atLeast"/>
        <w:jc w:val="both"/>
        <w:rPr>
          <w:rFonts w:ascii="Times New Roman" w:hAnsi="Times New Roman" w:cs="Times New Roman"/>
          <w:sz w:val="24"/>
          <w:szCs w:val="24"/>
        </w:rPr>
      </w:pPr>
      <w:r w:rsidRPr="00EE1E49">
        <w:rPr>
          <w:rFonts w:ascii="Times New Roman" w:hAnsi="Times New Roman" w:cs="Times New Roman"/>
          <w:sz w:val="24"/>
          <w:szCs w:val="24"/>
        </w:rPr>
        <w:t xml:space="preserve">The </w:t>
      </w:r>
      <w:r>
        <w:rPr>
          <w:rFonts w:ascii="Times New Roman" w:hAnsi="Times New Roman" w:cs="Times New Roman"/>
          <w:sz w:val="24"/>
          <w:szCs w:val="24"/>
        </w:rPr>
        <w:t xml:space="preserve">Agency establishes the following service rates for </w:t>
      </w:r>
      <w:r w:rsidR="0093164A">
        <w:rPr>
          <w:rFonts w:ascii="Times New Roman" w:hAnsi="Times New Roman" w:cs="Times New Roman"/>
          <w:sz w:val="24"/>
          <w:szCs w:val="24"/>
        </w:rPr>
        <w:t>Fiscal Year (</w:t>
      </w:r>
      <w:r>
        <w:rPr>
          <w:rFonts w:ascii="Times New Roman" w:hAnsi="Times New Roman" w:cs="Times New Roman"/>
          <w:sz w:val="24"/>
          <w:szCs w:val="24"/>
        </w:rPr>
        <w:t>FY</w:t>
      </w:r>
      <w:r w:rsidR="0093164A">
        <w:rPr>
          <w:rFonts w:ascii="Times New Roman" w:hAnsi="Times New Roman" w:cs="Times New Roman"/>
          <w:sz w:val="24"/>
          <w:szCs w:val="24"/>
        </w:rPr>
        <w:t>)</w:t>
      </w:r>
      <w:r>
        <w:rPr>
          <w:rFonts w:ascii="Times New Roman" w:hAnsi="Times New Roman" w:cs="Times New Roman"/>
          <w:sz w:val="24"/>
          <w:szCs w:val="24"/>
        </w:rPr>
        <w:t xml:space="preserve"> </w:t>
      </w:r>
      <w:r w:rsidR="00D34A79">
        <w:rPr>
          <w:rFonts w:ascii="Times New Roman" w:hAnsi="Times New Roman" w:cs="Times New Roman"/>
          <w:sz w:val="24"/>
          <w:szCs w:val="24"/>
        </w:rPr>
        <w:t>2019/20</w:t>
      </w:r>
      <w:r>
        <w:rPr>
          <w:rFonts w:ascii="Times New Roman" w:hAnsi="Times New Roman" w:cs="Times New Roman"/>
          <w:sz w:val="24"/>
          <w:szCs w:val="24"/>
        </w:rPr>
        <w:t xml:space="preserve"> to support various types of services for different programs and for other local governmental agencies who may require the Agency’s staff support or use of Agency’s equipment. The highlights of the FY </w:t>
      </w:r>
      <w:r w:rsidR="00D34A79">
        <w:rPr>
          <w:rFonts w:ascii="Times New Roman" w:hAnsi="Times New Roman" w:cs="Times New Roman"/>
          <w:sz w:val="24"/>
          <w:szCs w:val="24"/>
        </w:rPr>
        <w:t>2019/20</w:t>
      </w:r>
      <w:r>
        <w:rPr>
          <w:rFonts w:ascii="Times New Roman" w:hAnsi="Times New Roman" w:cs="Times New Roman"/>
          <w:sz w:val="24"/>
          <w:szCs w:val="24"/>
        </w:rPr>
        <w:t xml:space="preserve"> proposed resolutions are provided below and the respective resolution documents are presented in Attachment 4</w:t>
      </w:r>
      <w:r w:rsidR="00D34A79">
        <w:rPr>
          <w:rFonts w:ascii="Times New Roman" w:hAnsi="Times New Roman" w:cs="Times New Roman"/>
          <w:sz w:val="24"/>
          <w:szCs w:val="24"/>
        </w:rPr>
        <w:t>, Budget Adoption and Rate Resolutions: No. 2019-6-1 to 2019-6-8, and 2</w:t>
      </w:r>
      <w:r w:rsidR="004109EF">
        <w:rPr>
          <w:rFonts w:ascii="Times New Roman" w:hAnsi="Times New Roman" w:cs="Times New Roman"/>
          <w:sz w:val="24"/>
          <w:szCs w:val="24"/>
        </w:rPr>
        <w:t>01</w:t>
      </w:r>
      <w:r w:rsidR="00D34A79">
        <w:rPr>
          <w:rFonts w:ascii="Times New Roman" w:hAnsi="Times New Roman" w:cs="Times New Roman"/>
          <w:sz w:val="24"/>
          <w:szCs w:val="24"/>
        </w:rPr>
        <w:t>9-6-10</w:t>
      </w:r>
      <w:r>
        <w:rPr>
          <w:rFonts w:ascii="Times New Roman" w:hAnsi="Times New Roman" w:cs="Times New Roman"/>
          <w:sz w:val="24"/>
          <w:szCs w:val="24"/>
        </w:rPr>
        <w:t>.</w:t>
      </w:r>
    </w:p>
    <w:p w14:paraId="37BEF9BD" w14:textId="77777777" w:rsidR="002608E3" w:rsidRDefault="002608E3" w:rsidP="002608E3">
      <w:pPr>
        <w:pStyle w:val="HTMLPreformatted"/>
        <w:spacing w:line="20" w:lineRule="atLeast"/>
        <w:jc w:val="both"/>
        <w:rPr>
          <w:rFonts w:ascii="Times New Roman" w:hAnsi="Times New Roman" w:cs="Times New Roman"/>
          <w:b/>
          <w:sz w:val="24"/>
          <w:szCs w:val="24"/>
          <w:u w:val="single"/>
        </w:rPr>
      </w:pPr>
    </w:p>
    <w:p w14:paraId="5ABDE712" w14:textId="6130D7D4" w:rsidR="006C2DBB" w:rsidRDefault="00D34A79" w:rsidP="002608E3">
      <w:pPr>
        <w:jc w:val="both"/>
        <w:rPr>
          <w:b/>
        </w:rPr>
      </w:pPr>
      <w:r>
        <w:rPr>
          <w:b/>
        </w:rPr>
        <w:t>Resolution No. 2019-6-10, Board of Directors of the Inland Empire Utilities Agency</w:t>
      </w:r>
      <w:r w:rsidR="006C2DBB">
        <w:rPr>
          <w:b/>
        </w:rPr>
        <w:t>, San Bernardino County, California, Approving and Adopting its Budget for Fiscal Years 2019/20 and 2020/2021</w:t>
      </w:r>
    </w:p>
    <w:p w14:paraId="4AC778C2" w14:textId="4E8AE539" w:rsidR="00D34A79" w:rsidRPr="006C2DBB" w:rsidRDefault="006C2DBB" w:rsidP="002608E3">
      <w:pPr>
        <w:jc w:val="both"/>
      </w:pPr>
      <w:r>
        <w:t xml:space="preserve">This resolution </w:t>
      </w:r>
      <w:r w:rsidR="004109EF">
        <w:t>affirms</w:t>
      </w:r>
      <w:r w:rsidR="0093164A">
        <w:t xml:space="preserve"> </w:t>
      </w:r>
      <w:r>
        <w:t xml:space="preserve">the Agency's </w:t>
      </w:r>
      <w:r w:rsidR="0093164A">
        <w:t xml:space="preserve">action in </w:t>
      </w:r>
      <w:r w:rsidR="0037218A">
        <w:t>adopt</w:t>
      </w:r>
      <w:r w:rsidR="0093164A">
        <w:t>ing</w:t>
      </w:r>
      <w:r w:rsidR="0037218A">
        <w:t xml:space="preserve"> the </w:t>
      </w:r>
      <w:r w:rsidR="0093164A">
        <w:t xml:space="preserve">FYs 2019/2020 and 2020/2021 </w:t>
      </w:r>
      <w:r w:rsidR="0037218A">
        <w:t>proposed budget</w:t>
      </w:r>
      <w:r w:rsidR="0093164A">
        <w:t xml:space="preserve"> for various programs budget and service rates.</w:t>
      </w:r>
    </w:p>
    <w:p w14:paraId="361217C5" w14:textId="77777777" w:rsidR="00D34A79" w:rsidRDefault="00D34A79" w:rsidP="002608E3">
      <w:pPr>
        <w:jc w:val="both"/>
        <w:rPr>
          <w:b/>
        </w:rPr>
      </w:pPr>
    </w:p>
    <w:p w14:paraId="347F942A" w14:textId="6F26AAD1" w:rsidR="002608E3" w:rsidRDefault="002608E3" w:rsidP="002608E3">
      <w:pPr>
        <w:jc w:val="both"/>
        <w:rPr>
          <w:b/>
        </w:rPr>
      </w:pPr>
      <w:r>
        <w:rPr>
          <w:b/>
        </w:rPr>
        <w:t>Resolution No. 2019-6-1, Service Rates for Wastewater Discharges to the Regional Wastewater System for Septage, Commercial or Industrial Wastewater, and Excessive Strength Charges</w:t>
      </w:r>
    </w:p>
    <w:p w14:paraId="1D63D432" w14:textId="11930BBE" w:rsidR="002608E3" w:rsidRPr="009013A6" w:rsidRDefault="002608E3" w:rsidP="002608E3">
      <w:pPr>
        <w:jc w:val="both"/>
        <w:rPr>
          <w:szCs w:val="24"/>
        </w:rPr>
      </w:pPr>
      <w:r w:rsidRPr="009013A6">
        <w:rPr>
          <w:szCs w:val="24"/>
        </w:rPr>
        <w:t>This resolution establishes service rates for processing and issuing permits to domestic, commercial, or industrial wastewater dischargers and wastewater haulers permitted by IEUA, service rates for processing and treatment of sanitary, commercial or industrial wastewater deliveries to the Inland Empire Utilities Agency (Agency)'s Regional Wastewater System</w:t>
      </w:r>
      <w:r w:rsidR="001F0A76">
        <w:rPr>
          <w:szCs w:val="24"/>
        </w:rPr>
        <w:t>,</w:t>
      </w:r>
      <w:r w:rsidRPr="009013A6">
        <w:rPr>
          <w:szCs w:val="24"/>
        </w:rPr>
        <w:t xml:space="preserve"> </w:t>
      </w:r>
      <w:r>
        <w:rPr>
          <w:szCs w:val="24"/>
        </w:rPr>
        <w:t xml:space="preserve">and service rates for </w:t>
      </w:r>
      <w:r w:rsidRPr="009013A6">
        <w:rPr>
          <w:szCs w:val="24"/>
        </w:rPr>
        <w:t>application fees for processing and issuing of wastewater discharge permits to industrial wastewater generators who discharge directly through pipeline connections to the Regional Sewer System</w:t>
      </w:r>
      <w:r>
        <w:rPr>
          <w:szCs w:val="24"/>
        </w:rPr>
        <w:t>.</w:t>
      </w:r>
      <w:r w:rsidRPr="009013A6">
        <w:rPr>
          <w:szCs w:val="24"/>
        </w:rPr>
        <w:t xml:space="preserve"> </w:t>
      </w:r>
    </w:p>
    <w:p w14:paraId="19D039D7" w14:textId="77777777" w:rsidR="002608E3" w:rsidRPr="009013A6" w:rsidRDefault="002608E3" w:rsidP="002608E3">
      <w:pPr>
        <w:jc w:val="both"/>
        <w:rPr>
          <w:szCs w:val="24"/>
        </w:rPr>
      </w:pPr>
    </w:p>
    <w:p w14:paraId="64479F01" w14:textId="1F9421AE" w:rsidR="002608E3" w:rsidRDefault="002608E3" w:rsidP="002608E3">
      <w:pPr>
        <w:jc w:val="both"/>
        <w:rPr>
          <w:b/>
        </w:rPr>
      </w:pPr>
      <w:r>
        <w:rPr>
          <w:b/>
        </w:rPr>
        <w:t>Resolution No. 2019-6-2, Capacity Charges, Volumetric Charges, Strength Charges, Capital Improvement Project (CIP) Charges, IEUA Administrative Charges, and Application and Wastewater Discharge Permit Application Fees for the Etiwanda Wastewater Line (EWL)</w:t>
      </w:r>
    </w:p>
    <w:p w14:paraId="2AABE885" w14:textId="77777777" w:rsidR="002608E3" w:rsidRPr="005C7BD0" w:rsidRDefault="002608E3" w:rsidP="002608E3">
      <w:pPr>
        <w:jc w:val="both"/>
        <w:rPr>
          <w:szCs w:val="24"/>
        </w:rPr>
      </w:pPr>
      <w:r>
        <w:rPr>
          <w:szCs w:val="24"/>
        </w:rPr>
        <w:t>This resolution establishes</w:t>
      </w:r>
      <w:r w:rsidRPr="005C7BD0">
        <w:rPr>
          <w:szCs w:val="24"/>
        </w:rPr>
        <w:t xml:space="preserve"> a rate structure for the collection of costs associated for the sewerage service</w:t>
      </w:r>
      <w:r>
        <w:rPr>
          <w:szCs w:val="24"/>
        </w:rPr>
        <w:t xml:space="preserve"> for the EWL</w:t>
      </w:r>
      <w:r w:rsidRPr="005C7BD0">
        <w:rPr>
          <w:szCs w:val="24"/>
        </w:rPr>
        <w:t xml:space="preserve"> under </w:t>
      </w:r>
      <w:r>
        <w:rPr>
          <w:szCs w:val="24"/>
        </w:rPr>
        <w:t xml:space="preserve">the Etiwanda Wastewater Line </w:t>
      </w:r>
      <w:r w:rsidRPr="00EE0E78">
        <w:rPr>
          <w:szCs w:val="24"/>
        </w:rPr>
        <w:t xml:space="preserve">Disposal </w:t>
      </w:r>
      <w:r w:rsidRPr="005C7BD0">
        <w:rPr>
          <w:szCs w:val="24"/>
        </w:rPr>
        <w:t xml:space="preserve">Agreement </w:t>
      </w:r>
      <w:r>
        <w:rPr>
          <w:szCs w:val="24"/>
        </w:rPr>
        <w:t>entered</w:t>
      </w:r>
      <w:r w:rsidRPr="005C7BD0">
        <w:rPr>
          <w:szCs w:val="24"/>
        </w:rPr>
        <w:t xml:space="preserve"> between County Sanitation Districts of Los Angeles County (CSDLAC) and Inland Empire Utilities Agency (Agency) </w:t>
      </w:r>
    </w:p>
    <w:p w14:paraId="2003F329" w14:textId="77777777" w:rsidR="002608E3" w:rsidRDefault="002608E3" w:rsidP="002608E3">
      <w:pPr>
        <w:jc w:val="both"/>
        <w:rPr>
          <w:b/>
        </w:rPr>
      </w:pPr>
    </w:p>
    <w:p w14:paraId="52943240" w14:textId="04961736" w:rsidR="002608E3" w:rsidRDefault="002608E3" w:rsidP="002608E3">
      <w:pPr>
        <w:jc w:val="both"/>
        <w:rPr>
          <w:b/>
        </w:rPr>
      </w:pPr>
      <w:r w:rsidRPr="00BA0373">
        <w:rPr>
          <w:b/>
        </w:rPr>
        <w:t>Resolution No. 201</w:t>
      </w:r>
      <w:r>
        <w:rPr>
          <w:b/>
        </w:rPr>
        <w:t>9</w:t>
      </w:r>
      <w:r w:rsidRPr="00BA0373">
        <w:rPr>
          <w:b/>
        </w:rPr>
        <w:t>-6-</w:t>
      </w:r>
      <w:r>
        <w:rPr>
          <w:b/>
        </w:rPr>
        <w:t>3</w:t>
      </w:r>
      <w:r w:rsidRPr="00BA0373">
        <w:rPr>
          <w:b/>
        </w:rPr>
        <w:t xml:space="preserve">, </w:t>
      </w:r>
      <w:r>
        <w:rPr>
          <w:b/>
        </w:rPr>
        <w:t>Capacity Charges, Volumetric Charges, Strength Charges, Agency Program Charges and Application Fees for the Non-Reclaimable Wastewater System (NRWS)</w:t>
      </w:r>
    </w:p>
    <w:p w14:paraId="1A58B099" w14:textId="77777777" w:rsidR="002608E3" w:rsidRPr="005C7BD0" w:rsidRDefault="002608E3" w:rsidP="002608E3">
      <w:pPr>
        <w:jc w:val="both"/>
        <w:rPr>
          <w:szCs w:val="24"/>
        </w:rPr>
      </w:pPr>
      <w:r>
        <w:rPr>
          <w:szCs w:val="24"/>
        </w:rPr>
        <w:t>This resolution establishes</w:t>
      </w:r>
      <w:r w:rsidRPr="005C7BD0">
        <w:rPr>
          <w:szCs w:val="24"/>
        </w:rPr>
        <w:t xml:space="preserve"> a rate structure for the collection of costs associated for the sewerage service</w:t>
      </w:r>
      <w:r>
        <w:rPr>
          <w:szCs w:val="24"/>
        </w:rPr>
        <w:t xml:space="preserve"> for the NRW north system</w:t>
      </w:r>
      <w:r w:rsidRPr="005C7BD0">
        <w:rPr>
          <w:szCs w:val="24"/>
        </w:rPr>
        <w:t xml:space="preserve"> under </w:t>
      </w:r>
      <w:r>
        <w:rPr>
          <w:szCs w:val="24"/>
        </w:rPr>
        <w:t xml:space="preserve">the </w:t>
      </w:r>
      <w:r w:rsidRPr="005C7BD0">
        <w:rPr>
          <w:szCs w:val="24"/>
        </w:rPr>
        <w:t xml:space="preserve">NRWS </w:t>
      </w:r>
      <w:r w:rsidRPr="005C7BD0">
        <w:rPr>
          <w:i/>
          <w:szCs w:val="24"/>
        </w:rPr>
        <w:t>Wastewater Disposal Agreement No. 4830</w:t>
      </w:r>
      <w:r w:rsidRPr="005C7BD0">
        <w:rPr>
          <w:szCs w:val="24"/>
        </w:rPr>
        <w:t xml:space="preserve"> </w:t>
      </w:r>
      <w:r>
        <w:rPr>
          <w:szCs w:val="24"/>
        </w:rPr>
        <w:t>entered</w:t>
      </w:r>
      <w:r w:rsidRPr="005C7BD0">
        <w:rPr>
          <w:szCs w:val="24"/>
        </w:rPr>
        <w:t xml:space="preserve"> between County Sanitation Districts of Los Angeles County (CSDLAC) and Inland Empire Utilities Agency (Agency) </w:t>
      </w:r>
    </w:p>
    <w:p w14:paraId="577B8DE9" w14:textId="77777777" w:rsidR="002608E3" w:rsidRPr="005C7BD0" w:rsidRDefault="002608E3" w:rsidP="002608E3">
      <w:pPr>
        <w:jc w:val="both"/>
        <w:rPr>
          <w:szCs w:val="24"/>
        </w:rPr>
      </w:pPr>
    </w:p>
    <w:p w14:paraId="3A00038E" w14:textId="194E3B7F" w:rsidR="002608E3" w:rsidRDefault="002608E3" w:rsidP="002608E3">
      <w:pPr>
        <w:jc w:val="both"/>
        <w:rPr>
          <w:b/>
        </w:rPr>
      </w:pPr>
      <w:r>
        <w:rPr>
          <w:b/>
        </w:rPr>
        <w:lastRenderedPageBreak/>
        <w:t xml:space="preserve">Resolution No. 2019-6-4, Capacity Charges, Volumetric Charges, Strength Charges, Capital Improvement Project (CIP) Charges, IEUA Administrative Charges, and Application and Wastewater Discharge Permit Application Fees for the Inland Empire Brine Line </w:t>
      </w:r>
    </w:p>
    <w:p w14:paraId="2D95253F" w14:textId="77777777" w:rsidR="002608E3" w:rsidRPr="00DF7C9D" w:rsidRDefault="002608E3" w:rsidP="002608E3">
      <w:pPr>
        <w:jc w:val="both"/>
        <w:rPr>
          <w:szCs w:val="24"/>
        </w:rPr>
      </w:pPr>
      <w:r>
        <w:rPr>
          <w:szCs w:val="24"/>
        </w:rPr>
        <w:t xml:space="preserve">This resolution </w:t>
      </w:r>
      <w:r w:rsidRPr="00DF7C9D">
        <w:rPr>
          <w:szCs w:val="24"/>
        </w:rPr>
        <w:t>establish</w:t>
      </w:r>
      <w:r>
        <w:rPr>
          <w:szCs w:val="24"/>
        </w:rPr>
        <w:t>es</w:t>
      </w:r>
      <w:r w:rsidRPr="00DF7C9D">
        <w:rPr>
          <w:szCs w:val="24"/>
        </w:rPr>
        <w:t xml:space="preserve"> initial and monthly capacity charges, volumetric flow charges, CIP charges, trucked wastewater delivery charges and excessive strength charges</w:t>
      </w:r>
      <w:r>
        <w:rPr>
          <w:szCs w:val="24"/>
        </w:rPr>
        <w:t>, ap</w:t>
      </w:r>
      <w:r w:rsidRPr="00DF7C9D">
        <w:rPr>
          <w:szCs w:val="24"/>
        </w:rPr>
        <w:t>plication fees for processing applications for Capacity Right Agreements and Wastewater Discharge Permits for the use of the Inland Empire Utilities Agency (Agency)'s Brine Line</w:t>
      </w:r>
      <w:r>
        <w:rPr>
          <w:szCs w:val="24"/>
        </w:rPr>
        <w:t>, NRW south system.</w:t>
      </w:r>
      <w:r w:rsidRPr="00DF7C9D">
        <w:rPr>
          <w:szCs w:val="24"/>
        </w:rPr>
        <w:t xml:space="preserve"> </w:t>
      </w:r>
    </w:p>
    <w:p w14:paraId="4DC2A060" w14:textId="77777777" w:rsidR="002608E3" w:rsidRDefault="002608E3" w:rsidP="002608E3">
      <w:pPr>
        <w:rPr>
          <w:b/>
        </w:rPr>
      </w:pPr>
    </w:p>
    <w:p w14:paraId="3E8F6F72" w14:textId="53AA3534" w:rsidR="002608E3" w:rsidRDefault="002608E3" w:rsidP="002608E3">
      <w:pPr>
        <w:rPr>
          <w:b/>
        </w:rPr>
      </w:pPr>
      <w:r w:rsidRPr="00BA0373">
        <w:rPr>
          <w:b/>
        </w:rPr>
        <w:t>Resolution No. 201</w:t>
      </w:r>
      <w:r>
        <w:rPr>
          <w:b/>
        </w:rPr>
        <w:t>9</w:t>
      </w:r>
      <w:r w:rsidRPr="00BA0373">
        <w:rPr>
          <w:b/>
        </w:rPr>
        <w:t>-6-5, Laboratory Rates</w:t>
      </w:r>
    </w:p>
    <w:p w14:paraId="1FB349D3" w14:textId="51364220" w:rsidR="002608E3" w:rsidRDefault="002608E3" w:rsidP="002608E3">
      <w:pPr>
        <w:jc w:val="both"/>
      </w:pPr>
      <w:r>
        <w:t>This resolution establishes rates on a variety of laboratory analyses for local governmental agencies who enter into agreement with the Agency for laboratory analysis services. The rates support the laboratory staff time and supplies associated with laboratory analyses. The FY 2018/19 laboratory rates remain consistent with prior year rates.  </w:t>
      </w:r>
    </w:p>
    <w:p w14:paraId="3C23DC39" w14:textId="77777777" w:rsidR="002608E3" w:rsidRDefault="002608E3" w:rsidP="002608E3">
      <w:pPr>
        <w:pStyle w:val="HTMLPreformatted"/>
        <w:spacing w:line="288" w:lineRule="atLeast"/>
        <w:jc w:val="both"/>
        <w:rPr>
          <w:rFonts w:ascii="Times New Roman" w:hAnsi="Times New Roman" w:cs="Times New Roman"/>
          <w:b/>
          <w:sz w:val="24"/>
          <w:szCs w:val="24"/>
        </w:rPr>
      </w:pPr>
    </w:p>
    <w:p w14:paraId="46C455DE" w14:textId="65D39378" w:rsidR="002608E3" w:rsidRDefault="002608E3" w:rsidP="002608E3">
      <w:pPr>
        <w:pStyle w:val="HTMLPreformatted"/>
        <w:spacing w:line="288" w:lineRule="atLeast"/>
        <w:jc w:val="both"/>
        <w:rPr>
          <w:rFonts w:ascii="Times New Roman" w:hAnsi="Times New Roman" w:cs="Times New Roman"/>
          <w:b/>
          <w:sz w:val="24"/>
          <w:szCs w:val="24"/>
        </w:rPr>
      </w:pPr>
      <w:r w:rsidRPr="00BA0373">
        <w:rPr>
          <w:rFonts w:ascii="Times New Roman" w:hAnsi="Times New Roman" w:cs="Times New Roman"/>
          <w:b/>
          <w:sz w:val="24"/>
          <w:szCs w:val="24"/>
        </w:rPr>
        <w:t>Resolution No. 201</w:t>
      </w:r>
      <w:r>
        <w:rPr>
          <w:rFonts w:ascii="Times New Roman" w:hAnsi="Times New Roman" w:cs="Times New Roman"/>
          <w:b/>
          <w:sz w:val="24"/>
          <w:szCs w:val="24"/>
        </w:rPr>
        <w:t>9</w:t>
      </w:r>
      <w:r w:rsidRPr="00BA0373">
        <w:rPr>
          <w:rFonts w:ascii="Times New Roman" w:hAnsi="Times New Roman" w:cs="Times New Roman"/>
          <w:b/>
          <w:sz w:val="24"/>
          <w:szCs w:val="24"/>
        </w:rPr>
        <w:t>-6-6</w:t>
      </w:r>
      <w:r>
        <w:rPr>
          <w:rFonts w:ascii="Times New Roman" w:hAnsi="Times New Roman" w:cs="Times New Roman"/>
          <w:b/>
          <w:sz w:val="24"/>
          <w:szCs w:val="24"/>
        </w:rPr>
        <w:t xml:space="preserve">, Extra-Territorial Sewer Charges </w:t>
      </w:r>
    </w:p>
    <w:p w14:paraId="751EF359" w14:textId="2511DC63" w:rsidR="002608E3" w:rsidRDefault="002608E3" w:rsidP="002608E3">
      <w:pPr>
        <w:pStyle w:val="HTMLPreformatted"/>
        <w:spacing w:line="288" w:lineRule="atLeast"/>
        <w:jc w:val="both"/>
        <w:rPr>
          <w:rFonts w:ascii="Times New Roman" w:hAnsi="Times New Roman" w:cs="Times New Roman"/>
          <w:snapToGrid w:val="0"/>
          <w:sz w:val="24"/>
          <w:szCs w:val="24"/>
        </w:rPr>
      </w:pPr>
      <w:r>
        <w:rPr>
          <w:rFonts w:ascii="Times New Roman" w:hAnsi="Times New Roman" w:cs="Times New Roman"/>
          <w:sz w:val="24"/>
          <w:szCs w:val="24"/>
        </w:rPr>
        <w:t xml:space="preserve">This resolution </w:t>
      </w:r>
      <w:r w:rsidRPr="00F26137">
        <w:rPr>
          <w:rFonts w:ascii="Times New Roman" w:hAnsi="Times New Roman" w:cs="Times New Roman"/>
          <w:sz w:val="24"/>
          <w:szCs w:val="24"/>
        </w:rPr>
        <w:t>establish</w:t>
      </w:r>
      <w:r>
        <w:rPr>
          <w:rFonts w:ascii="Times New Roman" w:hAnsi="Times New Roman" w:cs="Times New Roman"/>
          <w:sz w:val="24"/>
          <w:szCs w:val="24"/>
        </w:rPr>
        <w:t>es</w:t>
      </w:r>
      <w:r w:rsidRPr="00F26137">
        <w:rPr>
          <w:rFonts w:ascii="Times New Roman" w:hAnsi="Times New Roman" w:cs="Times New Roman"/>
          <w:sz w:val="24"/>
          <w:szCs w:val="24"/>
        </w:rPr>
        <w:t xml:space="preserve"> an extra-territorial </w:t>
      </w:r>
      <w:r>
        <w:rPr>
          <w:rFonts w:ascii="Times New Roman" w:hAnsi="Times New Roman" w:cs="Times New Roman"/>
          <w:sz w:val="24"/>
          <w:szCs w:val="24"/>
        </w:rPr>
        <w:t xml:space="preserve">(ET) </w:t>
      </w:r>
      <w:r w:rsidRPr="00F26137">
        <w:rPr>
          <w:rFonts w:ascii="Times New Roman" w:hAnsi="Times New Roman" w:cs="Times New Roman"/>
          <w:sz w:val="24"/>
          <w:szCs w:val="24"/>
        </w:rPr>
        <w:t>monthly sewer service charge for system user</w:t>
      </w:r>
      <w:r>
        <w:rPr>
          <w:rFonts w:ascii="Times New Roman" w:hAnsi="Times New Roman" w:cs="Times New Roman"/>
          <w:sz w:val="24"/>
          <w:szCs w:val="24"/>
        </w:rPr>
        <w:t>s</w:t>
      </w:r>
      <w:r w:rsidRPr="00F26137">
        <w:rPr>
          <w:rFonts w:ascii="Times New Roman" w:hAnsi="Times New Roman" w:cs="Times New Roman"/>
          <w:sz w:val="24"/>
          <w:szCs w:val="24"/>
        </w:rPr>
        <w:t xml:space="preserve"> located </w:t>
      </w:r>
      <w:r>
        <w:rPr>
          <w:rFonts w:ascii="Times New Roman" w:hAnsi="Times New Roman" w:cs="Times New Roman"/>
          <w:sz w:val="24"/>
          <w:szCs w:val="24"/>
        </w:rPr>
        <w:t xml:space="preserve">within our contracting agencies boundaries </w:t>
      </w:r>
      <w:r w:rsidRPr="00F26137">
        <w:rPr>
          <w:rFonts w:ascii="Times New Roman" w:hAnsi="Times New Roman" w:cs="Times New Roman"/>
          <w:sz w:val="24"/>
          <w:szCs w:val="24"/>
        </w:rPr>
        <w:t xml:space="preserve">outside the Inland Empire Utilities Agency </w:t>
      </w:r>
      <w:r>
        <w:rPr>
          <w:rFonts w:ascii="Times New Roman" w:hAnsi="Times New Roman" w:cs="Times New Roman"/>
          <w:sz w:val="24"/>
          <w:szCs w:val="24"/>
        </w:rPr>
        <w:t>service area. This monthly ET charge is in addition to the adopted Regional Sewer service rate. T</w:t>
      </w:r>
      <w:r w:rsidRPr="00022B2C">
        <w:rPr>
          <w:rFonts w:ascii="Times New Roman" w:hAnsi="Times New Roman" w:cs="Times New Roman"/>
          <w:sz w:val="24"/>
          <w:szCs w:val="24"/>
        </w:rPr>
        <w:t xml:space="preserve">he </w:t>
      </w:r>
      <w:r>
        <w:rPr>
          <w:rFonts w:ascii="Times New Roman" w:hAnsi="Times New Roman" w:cs="Times New Roman"/>
          <w:sz w:val="24"/>
          <w:szCs w:val="24"/>
        </w:rPr>
        <w:t xml:space="preserve">FY 2019/20 ET </w:t>
      </w:r>
      <w:r w:rsidRPr="00022B2C">
        <w:rPr>
          <w:rFonts w:ascii="Times New Roman" w:hAnsi="Times New Roman" w:cs="Times New Roman"/>
          <w:sz w:val="24"/>
          <w:szCs w:val="24"/>
        </w:rPr>
        <w:t>monthly sewer service rate</w:t>
      </w:r>
      <w:r w:rsidRPr="00022B2C">
        <w:rPr>
          <w:rFonts w:ascii="Times New Roman" w:hAnsi="Times New Roman" w:cs="Times New Roman"/>
          <w:color w:val="FF0000"/>
          <w:sz w:val="24"/>
          <w:szCs w:val="24"/>
        </w:rPr>
        <w:t xml:space="preserve"> </w:t>
      </w:r>
      <w:r>
        <w:rPr>
          <w:rFonts w:ascii="Times New Roman" w:hAnsi="Times New Roman" w:cs="Times New Roman"/>
          <w:sz w:val="24"/>
          <w:szCs w:val="24"/>
        </w:rPr>
        <w:t>is</w:t>
      </w:r>
      <w:r w:rsidRPr="00022B2C">
        <w:rPr>
          <w:rFonts w:ascii="Times New Roman" w:hAnsi="Times New Roman" w:cs="Times New Roman"/>
          <w:sz w:val="24"/>
          <w:szCs w:val="24"/>
        </w:rPr>
        <w:t xml:space="preserve"> determined based on the Agency-wide assessed valuation for FY </w:t>
      </w:r>
      <w:r>
        <w:rPr>
          <w:rFonts w:ascii="Times New Roman" w:hAnsi="Times New Roman" w:cs="Times New Roman"/>
          <w:sz w:val="24"/>
          <w:szCs w:val="24"/>
        </w:rPr>
        <w:t>2018/19</w:t>
      </w:r>
      <w:r w:rsidRPr="00022B2C">
        <w:rPr>
          <w:rFonts w:ascii="Times New Roman" w:hAnsi="Times New Roman" w:cs="Times New Roman"/>
          <w:sz w:val="24"/>
          <w:szCs w:val="24"/>
        </w:rPr>
        <w:t xml:space="preserve"> as reported by the San Bernardino County Auditors Property Tax Division and the estimated number of bill</w:t>
      </w:r>
      <w:r>
        <w:rPr>
          <w:rFonts w:ascii="Times New Roman" w:hAnsi="Times New Roman" w:cs="Times New Roman"/>
          <w:sz w:val="24"/>
          <w:szCs w:val="24"/>
        </w:rPr>
        <w:t>able</w:t>
      </w:r>
      <w:r w:rsidRPr="00022B2C">
        <w:rPr>
          <w:rFonts w:ascii="Times New Roman" w:hAnsi="Times New Roman" w:cs="Times New Roman"/>
          <w:sz w:val="24"/>
          <w:szCs w:val="24"/>
        </w:rPr>
        <w:t xml:space="preserve"> </w:t>
      </w:r>
      <w:r>
        <w:rPr>
          <w:rFonts w:ascii="Times New Roman" w:hAnsi="Times New Roman" w:cs="Times New Roman"/>
          <w:sz w:val="24"/>
          <w:szCs w:val="24"/>
        </w:rPr>
        <w:t>equivalent dwelling units (</w:t>
      </w:r>
      <w:r w:rsidRPr="00022B2C">
        <w:rPr>
          <w:rFonts w:ascii="Times New Roman" w:hAnsi="Times New Roman" w:cs="Times New Roman"/>
          <w:sz w:val="24"/>
          <w:szCs w:val="24"/>
        </w:rPr>
        <w:t>EDU</w:t>
      </w:r>
      <w:r>
        <w:rPr>
          <w:rFonts w:ascii="Times New Roman" w:hAnsi="Times New Roman" w:cs="Times New Roman"/>
          <w:sz w:val="24"/>
          <w:szCs w:val="24"/>
        </w:rPr>
        <w:t>)</w:t>
      </w:r>
      <w:r w:rsidRPr="00022B2C">
        <w:rPr>
          <w:rFonts w:ascii="Times New Roman" w:hAnsi="Times New Roman" w:cs="Times New Roman"/>
          <w:sz w:val="24"/>
          <w:szCs w:val="24"/>
        </w:rPr>
        <w:t xml:space="preserve"> </w:t>
      </w:r>
      <w:r>
        <w:rPr>
          <w:rFonts w:ascii="Times New Roman" w:hAnsi="Times New Roman" w:cs="Times New Roman"/>
          <w:sz w:val="24"/>
          <w:szCs w:val="24"/>
        </w:rPr>
        <w:t>projected</w:t>
      </w:r>
      <w:r w:rsidRPr="00022B2C">
        <w:rPr>
          <w:rFonts w:ascii="Times New Roman" w:hAnsi="Times New Roman" w:cs="Times New Roman"/>
          <w:sz w:val="24"/>
          <w:szCs w:val="24"/>
        </w:rPr>
        <w:t xml:space="preserve"> in the Agency’s FY 201</w:t>
      </w:r>
      <w:r w:rsidR="00852CA2">
        <w:rPr>
          <w:rFonts w:ascii="Times New Roman" w:hAnsi="Times New Roman" w:cs="Times New Roman"/>
          <w:sz w:val="24"/>
          <w:szCs w:val="24"/>
        </w:rPr>
        <w:t>8</w:t>
      </w:r>
      <w:r w:rsidRPr="00022B2C">
        <w:rPr>
          <w:rFonts w:ascii="Times New Roman" w:hAnsi="Times New Roman" w:cs="Times New Roman"/>
          <w:sz w:val="24"/>
          <w:szCs w:val="24"/>
        </w:rPr>
        <w:t>/</w:t>
      </w:r>
      <w:r w:rsidR="00852CA2">
        <w:rPr>
          <w:rFonts w:ascii="Times New Roman" w:hAnsi="Times New Roman" w:cs="Times New Roman"/>
          <w:sz w:val="24"/>
          <w:szCs w:val="24"/>
        </w:rPr>
        <w:t>19</w:t>
      </w:r>
      <w:r w:rsidRPr="00022B2C">
        <w:rPr>
          <w:rFonts w:ascii="Times New Roman" w:hAnsi="Times New Roman" w:cs="Times New Roman"/>
          <w:sz w:val="24"/>
          <w:szCs w:val="24"/>
        </w:rPr>
        <w:t xml:space="preserve"> Regional Wastewater Operations and Maintenance fund budget</w:t>
      </w:r>
      <w:r>
        <w:rPr>
          <w:rFonts w:ascii="Times New Roman" w:hAnsi="Times New Roman" w:cs="Times New Roman"/>
          <w:sz w:val="24"/>
          <w:szCs w:val="24"/>
        </w:rPr>
        <w:t>. The FY 201</w:t>
      </w:r>
      <w:r w:rsidR="00852CA2">
        <w:rPr>
          <w:rFonts w:ascii="Times New Roman" w:hAnsi="Times New Roman" w:cs="Times New Roman"/>
          <w:sz w:val="24"/>
          <w:szCs w:val="24"/>
        </w:rPr>
        <w:t>9</w:t>
      </w:r>
      <w:r>
        <w:rPr>
          <w:rFonts w:ascii="Times New Roman" w:hAnsi="Times New Roman" w:cs="Times New Roman"/>
          <w:sz w:val="24"/>
          <w:szCs w:val="24"/>
        </w:rPr>
        <w:t>/</w:t>
      </w:r>
      <w:r w:rsidR="00852CA2">
        <w:rPr>
          <w:rFonts w:ascii="Times New Roman" w:hAnsi="Times New Roman" w:cs="Times New Roman"/>
          <w:sz w:val="24"/>
          <w:szCs w:val="24"/>
        </w:rPr>
        <w:t>20</w:t>
      </w:r>
      <w:r>
        <w:rPr>
          <w:rFonts w:ascii="Times New Roman" w:hAnsi="Times New Roman" w:cs="Times New Roman"/>
          <w:sz w:val="24"/>
          <w:szCs w:val="24"/>
        </w:rPr>
        <w:t xml:space="preserve"> monthly ET rate is set at $16.4</w:t>
      </w:r>
      <w:r w:rsidR="00852CA2">
        <w:rPr>
          <w:rFonts w:ascii="Times New Roman" w:hAnsi="Times New Roman" w:cs="Times New Roman"/>
          <w:sz w:val="24"/>
          <w:szCs w:val="24"/>
        </w:rPr>
        <w:t>8</w:t>
      </w:r>
      <w:r>
        <w:rPr>
          <w:rFonts w:ascii="Times New Roman" w:hAnsi="Times New Roman" w:cs="Times New Roman"/>
          <w:sz w:val="24"/>
          <w:szCs w:val="24"/>
        </w:rPr>
        <w:t xml:space="preserve"> per EDU, in addition to the adopted monthly EDU rate of $20.00.</w:t>
      </w:r>
    </w:p>
    <w:p w14:paraId="3F6A8508" w14:textId="77777777" w:rsidR="002608E3" w:rsidRDefault="002608E3" w:rsidP="002608E3">
      <w:pPr>
        <w:pStyle w:val="HTMLPreformatted"/>
        <w:spacing w:line="240" w:lineRule="atLeast"/>
        <w:jc w:val="both"/>
        <w:rPr>
          <w:rFonts w:ascii="Times New Roman" w:hAnsi="Times New Roman" w:cs="Times New Roman"/>
          <w:snapToGrid w:val="0"/>
          <w:sz w:val="24"/>
          <w:szCs w:val="24"/>
        </w:rPr>
      </w:pPr>
    </w:p>
    <w:p w14:paraId="747E6CBA" w14:textId="77777777" w:rsidR="002608E3" w:rsidRDefault="002608E3" w:rsidP="002608E3">
      <w:pPr>
        <w:pStyle w:val="HTMLPreformatted"/>
        <w:spacing w:line="288" w:lineRule="atLeast"/>
        <w:jc w:val="both"/>
        <w:rPr>
          <w:rFonts w:ascii="Times New Roman" w:hAnsi="Times New Roman" w:cs="Times New Roman"/>
          <w:b/>
          <w:sz w:val="24"/>
          <w:szCs w:val="24"/>
        </w:rPr>
      </w:pPr>
      <w:r w:rsidRPr="00BA0373">
        <w:rPr>
          <w:rFonts w:ascii="Times New Roman" w:hAnsi="Times New Roman" w:cs="Times New Roman"/>
          <w:b/>
          <w:sz w:val="24"/>
          <w:szCs w:val="24"/>
        </w:rPr>
        <w:t>Resolution No. 2018-6-</w:t>
      </w:r>
      <w:r>
        <w:rPr>
          <w:rFonts w:ascii="Times New Roman" w:hAnsi="Times New Roman" w:cs="Times New Roman"/>
          <w:b/>
          <w:sz w:val="24"/>
          <w:szCs w:val="24"/>
        </w:rPr>
        <w:t>7, Imported Water Rates</w:t>
      </w:r>
    </w:p>
    <w:p w14:paraId="311E2032" w14:textId="4E172853" w:rsidR="002608E3" w:rsidRPr="002715FF" w:rsidRDefault="002608E3" w:rsidP="002608E3">
      <w:pPr>
        <w:pStyle w:val="HTMLPreformatted"/>
        <w:spacing w:line="288" w:lineRule="atLeast"/>
        <w:jc w:val="both"/>
        <w:rPr>
          <w:rFonts w:ascii="Times New Roman" w:hAnsi="Times New Roman" w:cs="Times New Roman"/>
          <w:b/>
          <w:sz w:val="24"/>
          <w:szCs w:val="24"/>
        </w:rPr>
      </w:pPr>
      <w:r>
        <w:rPr>
          <w:rFonts w:ascii="Times New Roman" w:hAnsi="Times New Roman" w:cs="Times New Roman"/>
          <w:snapToGrid w:val="0"/>
          <w:sz w:val="24"/>
          <w:szCs w:val="24"/>
        </w:rPr>
        <w:t xml:space="preserve">This resolution </w:t>
      </w:r>
      <w:r w:rsidRPr="002715FF">
        <w:rPr>
          <w:rFonts w:ascii="Times New Roman" w:hAnsi="Times New Roman" w:cs="Times New Roman"/>
          <w:snapToGrid w:val="0"/>
          <w:sz w:val="24"/>
          <w:szCs w:val="24"/>
        </w:rPr>
        <w:t>establishes rates for delivery of imported water supplies; and the rates are based on the approved and adopted rates by the Metropolitan Water District of Southern California (MWD) Board on April 10, 2018. The rates of sales of imported water are direct pass-through charged by Metropolitan for each class of water (Tier 1 and Tier 2) to the IEUA member agencies</w:t>
      </w:r>
      <w:r>
        <w:rPr>
          <w:rFonts w:ascii="Times New Roman" w:hAnsi="Times New Roman" w:cs="Times New Roman"/>
          <w:snapToGrid w:val="0"/>
          <w:sz w:val="24"/>
          <w:szCs w:val="24"/>
        </w:rPr>
        <w:t>.</w:t>
      </w:r>
    </w:p>
    <w:p w14:paraId="6BC5E51E" w14:textId="77777777" w:rsidR="002608E3" w:rsidRDefault="002608E3" w:rsidP="002608E3">
      <w:pPr>
        <w:pStyle w:val="HTMLPreformatted"/>
        <w:spacing w:line="288" w:lineRule="atLeast"/>
        <w:jc w:val="both"/>
        <w:rPr>
          <w:rFonts w:ascii="Times New Roman" w:hAnsi="Times New Roman" w:cs="Times New Roman"/>
          <w:b/>
          <w:sz w:val="24"/>
          <w:szCs w:val="24"/>
          <w:u w:val="single"/>
        </w:rPr>
      </w:pPr>
    </w:p>
    <w:p w14:paraId="21F3B0A1" w14:textId="77777777" w:rsidR="002608E3" w:rsidRDefault="002608E3" w:rsidP="002608E3">
      <w:r>
        <w:rPr>
          <w:b/>
        </w:rPr>
        <w:t xml:space="preserve">Resolution No. </w:t>
      </w:r>
      <w:r w:rsidRPr="00BA0373">
        <w:rPr>
          <w:b/>
        </w:rPr>
        <w:t>2018-6-</w:t>
      </w:r>
      <w:r>
        <w:rPr>
          <w:b/>
        </w:rPr>
        <w:t>8,</w:t>
      </w:r>
      <w:r w:rsidRPr="00BA0373">
        <w:rPr>
          <w:b/>
        </w:rPr>
        <w:t xml:space="preserve"> Equipment Rental Fees</w:t>
      </w:r>
      <w:r>
        <w:t xml:space="preserve">: </w:t>
      </w:r>
    </w:p>
    <w:p w14:paraId="1CCBC65D" w14:textId="6972D643" w:rsidR="002608E3" w:rsidRDefault="002608E3" w:rsidP="001F0A76">
      <w:pPr>
        <w:jc w:val="both"/>
      </w:pPr>
      <w:r>
        <w:t>This resolution provides rental equipment rates for local governmental agencies that may occasionally require the use of Agency equipment. The rates cover the Agency’s labor cost, materials and supplies, and fuel costs. The cost for rental equipment in FY 2019/20 increases slightly to allow for increased fuel costs.   </w:t>
      </w:r>
    </w:p>
    <w:p w14:paraId="60249880" w14:textId="77777777" w:rsidR="00A63525" w:rsidRDefault="00A63525" w:rsidP="00DE5473">
      <w:pPr>
        <w:jc w:val="both"/>
        <w:rPr>
          <w:rFonts w:ascii="Times" w:hAnsi="Times"/>
        </w:rPr>
      </w:pPr>
    </w:p>
    <w:p w14:paraId="5C109D21" w14:textId="30A962FD" w:rsidR="00DE5473" w:rsidRDefault="00A63525" w:rsidP="00DE5473">
      <w:pPr>
        <w:jc w:val="both"/>
        <w:rPr>
          <w:i/>
          <w:szCs w:val="24"/>
        </w:rPr>
      </w:pPr>
      <w:r>
        <w:rPr>
          <w:rFonts w:ascii="Times" w:hAnsi="Times"/>
        </w:rPr>
        <w:t>In the following section,</w:t>
      </w:r>
      <w:r w:rsidR="00DE5473">
        <w:rPr>
          <w:szCs w:val="24"/>
        </w:rPr>
        <w:t xml:space="preserve"> the A</w:t>
      </w:r>
      <w:r w:rsidR="00D66102">
        <w:rPr>
          <w:szCs w:val="24"/>
        </w:rPr>
        <w:t>dditional Background Information</w:t>
      </w:r>
      <w:r>
        <w:rPr>
          <w:szCs w:val="24"/>
        </w:rPr>
        <w:t>, including</w:t>
      </w:r>
      <w:r w:rsidR="00D66102">
        <w:rPr>
          <w:szCs w:val="24"/>
        </w:rPr>
        <w:t xml:space="preserve"> </w:t>
      </w:r>
      <w:r w:rsidR="00DE5473">
        <w:rPr>
          <w:szCs w:val="24"/>
        </w:rPr>
        <w:t xml:space="preserve">the Sources and Uses of Funds reports for </w:t>
      </w:r>
      <w:r>
        <w:rPr>
          <w:szCs w:val="24"/>
        </w:rPr>
        <w:t>each</w:t>
      </w:r>
      <w:r w:rsidR="00DE5473">
        <w:rPr>
          <w:szCs w:val="24"/>
        </w:rPr>
        <w:t xml:space="preserve"> of the Agency’s program funds</w:t>
      </w:r>
      <w:r>
        <w:rPr>
          <w:szCs w:val="24"/>
        </w:rPr>
        <w:t xml:space="preserve">, proposed projects, </w:t>
      </w:r>
      <w:r w:rsidR="00DE5473">
        <w:rPr>
          <w:szCs w:val="24"/>
        </w:rPr>
        <w:t>and rate resolutions for Agency’s service fees and charges</w:t>
      </w:r>
      <w:r>
        <w:rPr>
          <w:szCs w:val="24"/>
        </w:rPr>
        <w:t>.</w:t>
      </w:r>
      <w:r w:rsidR="00DE5473">
        <w:rPr>
          <w:szCs w:val="24"/>
        </w:rPr>
        <w:t xml:space="preserve"> The proposed budget for these programs is consistent with the IEUA Business Goals of </w:t>
      </w:r>
      <w:r w:rsidR="00DE5473">
        <w:rPr>
          <w:i/>
          <w:szCs w:val="24"/>
        </w:rPr>
        <w:t xml:space="preserve">Fiscal Responsibility, Water Reliability, Wastewater Management, Environmental Stewardship, </w:t>
      </w:r>
      <w:r w:rsidR="00DE5473" w:rsidRPr="0059070A">
        <w:rPr>
          <w:szCs w:val="24"/>
        </w:rPr>
        <w:t>and</w:t>
      </w:r>
      <w:r w:rsidR="00DE5473">
        <w:rPr>
          <w:i/>
          <w:szCs w:val="24"/>
        </w:rPr>
        <w:t xml:space="preserve"> Business Practices.</w:t>
      </w:r>
    </w:p>
    <w:p w14:paraId="58F37BAB" w14:textId="3E9EB291" w:rsidR="00907052" w:rsidRDefault="00907052" w:rsidP="00170631">
      <w:pPr>
        <w:jc w:val="both"/>
        <w:rPr>
          <w:rFonts w:ascii="Times" w:hAnsi="Times"/>
          <w:bCs/>
        </w:rPr>
      </w:pPr>
    </w:p>
    <w:p w14:paraId="639C884C" w14:textId="77777777" w:rsidR="00D34A79" w:rsidRDefault="00D34A79" w:rsidP="00170631">
      <w:pPr>
        <w:jc w:val="both"/>
        <w:rPr>
          <w:rFonts w:ascii="Times" w:hAnsi="Times"/>
          <w:b/>
          <w:bCs/>
        </w:rPr>
      </w:pPr>
    </w:p>
    <w:p w14:paraId="439312A5" w14:textId="77777777" w:rsidR="0081568E" w:rsidRDefault="0081568E" w:rsidP="00170631">
      <w:pPr>
        <w:jc w:val="both"/>
        <w:rPr>
          <w:rFonts w:ascii="Times" w:hAnsi="Times"/>
          <w:b/>
          <w:bCs/>
        </w:rPr>
      </w:pPr>
    </w:p>
    <w:p w14:paraId="1B60BF19" w14:textId="77777777" w:rsidR="0081568E" w:rsidRDefault="0081568E" w:rsidP="00170631">
      <w:pPr>
        <w:jc w:val="both"/>
        <w:rPr>
          <w:rFonts w:ascii="Times" w:hAnsi="Times"/>
          <w:b/>
          <w:bCs/>
        </w:rPr>
      </w:pPr>
    </w:p>
    <w:p w14:paraId="52676DED" w14:textId="77777777" w:rsidR="0081568E" w:rsidRDefault="0081568E" w:rsidP="00170631">
      <w:pPr>
        <w:jc w:val="both"/>
        <w:rPr>
          <w:rFonts w:ascii="Times" w:hAnsi="Times"/>
          <w:b/>
          <w:bCs/>
        </w:rPr>
      </w:pPr>
    </w:p>
    <w:p w14:paraId="693528A2" w14:textId="698FF2ED" w:rsidR="00C253B8" w:rsidRDefault="00C253B8" w:rsidP="00170631">
      <w:pPr>
        <w:jc w:val="both"/>
        <w:rPr>
          <w:rFonts w:ascii="Times" w:hAnsi="Times"/>
          <w:b/>
          <w:bCs/>
        </w:rPr>
      </w:pPr>
      <w:r>
        <w:rPr>
          <w:rFonts w:ascii="Times" w:hAnsi="Times"/>
          <w:b/>
          <w:bCs/>
        </w:rPr>
        <w:t>Additional Background Information</w:t>
      </w:r>
    </w:p>
    <w:p w14:paraId="225B0106" w14:textId="1842FE3A" w:rsidR="00C253B8" w:rsidRDefault="00C253B8" w:rsidP="00170631">
      <w:pPr>
        <w:jc w:val="both"/>
        <w:rPr>
          <w:rFonts w:ascii="Times" w:hAnsi="Times"/>
          <w:b/>
          <w:bCs/>
        </w:rPr>
      </w:pPr>
    </w:p>
    <w:p w14:paraId="61A6D461" w14:textId="6407BABC" w:rsidR="001948F2" w:rsidRDefault="001948F2" w:rsidP="00170631">
      <w:pPr>
        <w:jc w:val="both"/>
        <w:rPr>
          <w:rFonts w:ascii="Times" w:hAnsi="Times"/>
          <w:bCs/>
        </w:rPr>
      </w:pPr>
      <w:r>
        <w:rPr>
          <w:rFonts w:ascii="Times" w:hAnsi="Times"/>
          <w:bCs/>
        </w:rPr>
        <w:t>Appendix A1 – Adopted Multi-Year Rates and Effective Dates</w:t>
      </w:r>
    </w:p>
    <w:p w14:paraId="1793AEEB" w14:textId="32C7C786" w:rsidR="001948F2" w:rsidRDefault="001948F2" w:rsidP="00170631">
      <w:pPr>
        <w:jc w:val="both"/>
        <w:rPr>
          <w:rFonts w:ascii="Times" w:hAnsi="Times"/>
          <w:bCs/>
        </w:rPr>
      </w:pPr>
      <w:r>
        <w:rPr>
          <w:rFonts w:ascii="Times" w:hAnsi="Times"/>
          <w:bCs/>
        </w:rPr>
        <w:t>Appendix A-2 – Biennial Budget Key Assumptions</w:t>
      </w:r>
    </w:p>
    <w:p w14:paraId="353E35EC" w14:textId="41E27268" w:rsidR="001948F2" w:rsidRDefault="001948F2" w:rsidP="00170631">
      <w:pPr>
        <w:jc w:val="both"/>
        <w:rPr>
          <w:rFonts w:ascii="Times" w:hAnsi="Times"/>
          <w:bCs/>
        </w:rPr>
      </w:pPr>
      <w:r>
        <w:rPr>
          <w:rFonts w:ascii="Times" w:hAnsi="Times"/>
          <w:bCs/>
        </w:rPr>
        <w:t>Appendix B – FY 2019/20 and FY 2020/21 NC Fund Proposed Budget and Rates</w:t>
      </w:r>
    </w:p>
    <w:p w14:paraId="274BDFD7" w14:textId="7E7CB426" w:rsidR="001948F2" w:rsidRDefault="001948F2" w:rsidP="00170631">
      <w:pPr>
        <w:jc w:val="both"/>
        <w:rPr>
          <w:rFonts w:ascii="Times" w:hAnsi="Times"/>
          <w:bCs/>
        </w:rPr>
      </w:pPr>
      <w:r>
        <w:rPr>
          <w:rFonts w:ascii="Times" w:hAnsi="Times"/>
          <w:bCs/>
        </w:rPr>
        <w:t>Appendix C1 – Budget Summary of FYs 2019/20 and 2020/21</w:t>
      </w:r>
    </w:p>
    <w:p w14:paraId="3EDB7B67" w14:textId="69BF3274" w:rsidR="001948F2" w:rsidRDefault="001948F2" w:rsidP="00593D76">
      <w:pPr>
        <w:ind w:left="1296" w:hanging="1296"/>
        <w:rPr>
          <w:rFonts w:ascii="Times" w:hAnsi="Times"/>
          <w:bCs/>
        </w:rPr>
      </w:pPr>
      <w:r>
        <w:rPr>
          <w:rFonts w:ascii="Times" w:hAnsi="Times"/>
          <w:bCs/>
        </w:rPr>
        <w:t>Appendix D1 – D</w:t>
      </w:r>
      <w:r w:rsidR="00184916">
        <w:rPr>
          <w:rFonts w:ascii="Times" w:hAnsi="Times"/>
          <w:bCs/>
        </w:rPr>
        <w:t>7</w:t>
      </w:r>
      <w:r>
        <w:rPr>
          <w:rFonts w:ascii="Times" w:hAnsi="Times"/>
          <w:bCs/>
        </w:rPr>
        <w:t xml:space="preserve"> – Program Fund Reports </w:t>
      </w:r>
      <w:r w:rsidR="00593D76">
        <w:rPr>
          <w:rFonts w:ascii="Times" w:hAnsi="Times"/>
          <w:bCs/>
        </w:rPr>
        <w:t xml:space="preserve">and Proposed </w:t>
      </w:r>
      <w:r w:rsidR="00903750">
        <w:rPr>
          <w:rFonts w:ascii="Times" w:hAnsi="Times"/>
          <w:bCs/>
        </w:rPr>
        <w:t xml:space="preserve">Capital </w:t>
      </w:r>
      <w:r w:rsidR="00593D76">
        <w:rPr>
          <w:rFonts w:ascii="Times" w:hAnsi="Times"/>
          <w:bCs/>
        </w:rPr>
        <w:t xml:space="preserve">Project Lists </w:t>
      </w:r>
      <w:r>
        <w:rPr>
          <w:rFonts w:ascii="Times" w:hAnsi="Times"/>
          <w:bCs/>
        </w:rPr>
        <w:t>(Regional Wastewater Capital, Regional</w:t>
      </w:r>
      <w:r w:rsidR="00593D76">
        <w:rPr>
          <w:rFonts w:ascii="Times" w:hAnsi="Times"/>
          <w:bCs/>
        </w:rPr>
        <w:t xml:space="preserve"> </w:t>
      </w:r>
      <w:r>
        <w:rPr>
          <w:rFonts w:ascii="Times" w:hAnsi="Times"/>
          <w:bCs/>
        </w:rPr>
        <w:t>Wastewater Operations, Recycled Water, Recharge Water, Water Resources, Non-Reclaimable Wastewater, and Administrative Services Funds)</w:t>
      </w:r>
    </w:p>
    <w:p w14:paraId="6F488125" w14:textId="77777777" w:rsidR="001948F2" w:rsidRDefault="001948F2" w:rsidP="001948F2">
      <w:pPr>
        <w:rPr>
          <w:rFonts w:ascii="Times" w:hAnsi="Times"/>
          <w:bCs/>
        </w:rPr>
      </w:pPr>
      <w:r>
        <w:rPr>
          <w:rFonts w:ascii="Times" w:hAnsi="Times"/>
          <w:bCs/>
        </w:rPr>
        <w:t>Rate Resolutions:</w:t>
      </w:r>
    </w:p>
    <w:p w14:paraId="2D87A6F5" w14:textId="77777777" w:rsidR="001948F2" w:rsidRDefault="001948F2" w:rsidP="001948F2">
      <w:pPr>
        <w:rPr>
          <w:rFonts w:ascii="Times" w:hAnsi="Times"/>
          <w:bCs/>
        </w:rPr>
      </w:pPr>
      <w:r>
        <w:rPr>
          <w:rFonts w:ascii="Times" w:hAnsi="Times"/>
          <w:bCs/>
        </w:rPr>
        <w:tab/>
        <w:t>2019-6-10 Budget Adoption</w:t>
      </w:r>
    </w:p>
    <w:p w14:paraId="258FA4B7" w14:textId="77777777" w:rsidR="001948F2" w:rsidRDefault="001948F2" w:rsidP="001948F2">
      <w:pPr>
        <w:rPr>
          <w:rFonts w:ascii="Times" w:hAnsi="Times"/>
          <w:bCs/>
        </w:rPr>
      </w:pPr>
      <w:r>
        <w:rPr>
          <w:rFonts w:ascii="Times" w:hAnsi="Times"/>
          <w:bCs/>
        </w:rPr>
        <w:tab/>
        <w:t>2019-6-1 Regional Rate for Wastewater Discharge</w:t>
      </w:r>
    </w:p>
    <w:p w14:paraId="0DA3C7C7" w14:textId="77777777" w:rsidR="001948F2" w:rsidRDefault="001948F2" w:rsidP="001948F2">
      <w:pPr>
        <w:rPr>
          <w:rFonts w:ascii="Times" w:hAnsi="Times"/>
          <w:bCs/>
        </w:rPr>
      </w:pPr>
      <w:r>
        <w:rPr>
          <w:rFonts w:ascii="Times" w:hAnsi="Times"/>
          <w:bCs/>
        </w:rPr>
        <w:tab/>
        <w:t>2019-6-2 NRWS Etiwanda Wastewater Line (EWL) Rate</w:t>
      </w:r>
    </w:p>
    <w:p w14:paraId="68913E86" w14:textId="77777777" w:rsidR="001948F2" w:rsidRDefault="001948F2" w:rsidP="001948F2">
      <w:pPr>
        <w:rPr>
          <w:rFonts w:ascii="Times" w:hAnsi="Times"/>
          <w:bCs/>
        </w:rPr>
      </w:pPr>
      <w:r>
        <w:rPr>
          <w:rFonts w:ascii="Times" w:hAnsi="Times"/>
          <w:bCs/>
        </w:rPr>
        <w:tab/>
        <w:t>2019-6-3 NRWS (CSDLAC) Rate for Volumetric, Strength Charges</w:t>
      </w:r>
    </w:p>
    <w:p w14:paraId="0B8D37F3" w14:textId="77777777" w:rsidR="001948F2" w:rsidRDefault="001948F2" w:rsidP="001948F2">
      <w:pPr>
        <w:rPr>
          <w:rFonts w:ascii="Times" w:hAnsi="Times"/>
          <w:bCs/>
        </w:rPr>
      </w:pPr>
      <w:r>
        <w:rPr>
          <w:rFonts w:ascii="Times" w:hAnsi="Times"/>
          <w:bCs/>
        </w:rPr>
        <w:tab/>
        <w:t>2019-6-4 NRW Inland Empire Brine Line (IEBL) Rate</w:t>
      </w:r>
    </w:p>
    <w:p w14:paraId="03D74C24" w14:textId="77777777" w:rsidR="001948F2" w:rsidRDefault="001948F2" w:rsidP="001948F2">
      <w:pPr>
        <w:rPr>
          <w:rFonts w:ascii="Times" w:hAnsi="Times"/>
          <w:bCs/>
        </w:rPr>
      </w:pPr>
      <w:r>
        <w:rPr>
          <w:rFonts w:ascii="Times" w:hAnsi="Times"/>
          <w:bCs/>
        </w:rPr>
        <w:tab/>
        <w:t>2019-6-5 Laboratory Fees</w:t>
      </w:r>
    </w:p>
    <w:p w14:paraId="1D5DD65B" w14:textId="77777777" w:rsidR="001948F2" w:rsidRDefault="001948F2" w:rsidP="001948F2">
      <w:pPr>
        <w:rPr>
          <w:rFonts w:ascii="Times" w:hAnsi="Times"/>
          <w:bCs/>
        </w:rPr>
      </w:pPr>
      <w:r>
        <w:rPr>
          <w:rFonts w:ascii="Times" w:hAnsi="Times"/>
          <w:bCs/>
        </w:rPr>
        <w:tab/>
        <w:t>2019-6-6 Extra Territorial Sewer Service Charges</w:t>
      </w:r>
    </w:p>
    <w:p w14:paraId="5EE26D6C" w14:textId="77777777" w:rsidR="001948F2" w:rsidRDefault="001948F2" w:rsidP="001948F2">
      <w:pPr>
        <w:rPr>
          <w:rFonts w:ascii="Times" w:hAnsi="Times"/>
          <w:bCs/>
        </w:rPr>
      </w:pPr>
      <w:r>
        <w:rPr>
          <w:rFonts w:ascii="Times" w:hAnsi="Times"/>
          <w:bCs/>
        </w:rPr>
        <w:tab/>
        <w:t>2019-6-7 Establishing Imported Water Rates</w:t>
      </w:r>
    </w:p>
    <w:p w14:paraId="64B191DC" w14:textId="07D033BF" w:rsidR="001948F2" w:rsidRDefault="001948F2" w:rsidP="001948F2">
      <w:pPr>
        <w:rPr>
          <w:rFonts w:ascii="Times" w:hAnsi="Times"/>
          <w:bCs/>
        </w:rPr>
      </w:pPr>
      <w:r>
        <w:rPr>
          <w:rFonts w:ascii="Times" w:hAnsi="Times"/>
          <w:bCs/>
        </w:rPr>
        <w:tab/>
        <w:t>2019-6-8 Equipment Rental Rates</w:t>
      </w:r>
    </w:p>
    <w:p w14:paraId="0A7B8234" w14:textId="77777777" w:rsidR="00593D76" w:rsidRDefault="00593D76" w:rsidP="00A6453A">
      <w:pPr>
        <w:jc w:val="center"/>
        <w:rPr>
          <w:b/>
        </w:rPr>
      </w:pPr>
    </w:p>
    <w:p w14:paraId="65C06DF9" w14:textId="77777777" w:rsidR="00593D76" w:rsidRDefault="00593D76" w:rsidP="00A6453A">
      <w:pPr>
        <w:jc w:val="center"/>
        <w:rPr>
          <w:b/>
        </w:rPr>
      </w:pPr>
    </w:p>
    <w:p w14:paraId="56AF9FFC" w14:textId="77777777" w:rsidR="00593D76" w:rsidRDefault="00593D76" w:rsidP="00A6453A">
      <w:pPr>
        <w:jc w:val="center"/>
        <w:rPr>
          <w:b/>
        </w:rPr>
      </w:pPr>
    </w:p>
    <w:p w14:paraId="5ADF72F1" w14:textId="77777777" w:rsidR="00593D76" w:rsidRDefault="00593D76" w:rsidP="00A6453A">
      <w:pPr>
        <w:jc w:val="center"/>
        <w:rPr>
          <w:b/>
        </w:rPr>
      </w:pPr>
    </w:p>
    <w:p w14:paraId="0A8BEEE2" w14:textId="77777777" w:rsidR="0081568E" w:rsidRDefault="0081568E" w:rsidP="00A6453A">
      <w:pPr>
        <w:jc w:val="center"/>
        <w:rPr>
          <w:b/>
        </w:rPr>
      </w:pPr>
    </w:p>
    <w:p w14:paraId="0B2221B8" w14:textId="77777777" w:rsidR="0081568E" w:rsidRDefault="0081568E" w:rsidP="00A6453A">
      <w:pPr>
        <w:jc w:val="center"/>
        <w:rPr>
          <w:b/>
        </w:rPr>
      </w:pPr>
    </w:p>
    <w:p w14:paraId="04249CFF" w14:textId="77777777" w:rsidR="0081568E" w:rsidRDefault="0081568E" w:rsidP="00A6453A">
      <w:pPr>
        <w:jc w:val="center"/>
        <w:rPr>
          <w:b/>
        </w:rPr>
      </w:pPr>
    </w:p>
    <w:p w14:paraId="381C9DDD" w14:textId="77777777" w:rsidR="0081568E" w:rsidRDefault="0081568E" w:rsidP="00A6453A">
      <w:pPr>
        <w:jc w:val="center"/>
        <w:rPr>
          <w:b/>
        </w:rPr>
      </w:pPr>
    </w:p>
    <w:p w14:paraId="1B79E264" w14:textId="77777777" w:rsidR="0081568E" w:rsidRDefault="0081568E" w:rsidP="00A6453A">
      <w:pPr>
        <w:jc w:val="center"/>
        <w:rPr>
          <w:b/>
        </w:rPr>
      </w:pPr>
    </w:p>
    <w:p w14:paraId="3E6A225E" w14:textId="77777777" w:rsidR="0081568E" w:rsidRDefault="0081568E" w:rsidP="00A6453A">
      <w:pPr>
        <w:jc w:val="center"/>
        <w:rPr>
          <w:b/>
        </w:rPr>
      </w:pPr>
    </w:p>
    <w:p w14:paraId="2E687AA2" w14:textId="77777777" w:rsidR="0081568E" w:rsidRDefault="0081568E" w:rsidP="00A6453A">
      <w:pPr>
        <w:jc w:val="center"/>
        <w:rPr>
          <w:b/>
        </w:rPr>
      </w:pPr>
    </w:p>
    <w:p w14:paraId="12C2BEDF" w14:textId="77777777" w:rsidR="0081568E" w:rsidRDefault="0081568E" w:rsidP="00A6453A">
      <w:pPr>
        <w:jc w:val="center"/>
        <w:rPr>
          <w:b/>
        </w:rPr>
      </w:pPr>
    </w:p>
    <w:p w14:paraId="18E305AB" w14:textId="77777777" w:rsidR="0081568E" w:rsidRDefault="0081568E" w:rsidP="00A6453A">
      <w:pPr>
        <w:jc w:val="center"/>
        <w:rPr>
          <w:b/>
        </w:rPr>
      </w:pPr>
    </w:p>
    <w:p w14:paraId="098E0508" w14:textId="77777777" w:rsidR="0081568E" w:rsidRDefault="0081568E" w:rsidP="00A6453A">
      <w:pPr>
        <w:jc w:val="center"/>
        <w:rPr>
          <w:b/>
        </w:rPr>
      </w:pPr>
    </w:p>
    <w:p w14:paraId="157BF0E5" w14:textId="77777777" w:rsidR="0081568E" w:rsidRDefault="0081568E" w:rsidP="00A6453A">
      <w:pPr>
        <w:jc w:val="center"/>
        <w:rPr>
          <w:b/>
        </w:rPr>
      </w:pPr>
    </w:p>
    <w:p w14:paraId="6765F25B" w14:textId="77777777" w:rsidR="0081568E" w:rsidRDefault="0081568E" w:rsidP="00A6453A">
      <w:pPr>
        <w:jc w:val="center"/>
        <w:rPr>
          <w:b/>
        </w:rPr>
      </w:pPr>
    </w:p>
    <w:p w14:paraId="661BB27F" w14:textId="77777777" w:rsidR="0081568E" w:rsidRDefault="0081568E" w:rsidP="00A6453A">
      <w:pPr>
        <w:jc w:val="center"/>
        <w:rPr>
          <w:b/>
        </w:rPr>
      </w:pPr>
    </w:p>
    <w:p w14:paraId="2018E7AE" w14:textId="77777777" w:rsidR="0081568E" w:rsidRDefault="0081568E" w:rsidP="00A6453A">
      <w:pPr>
        <w:jc w:val="center"/>
        <w:rPr>
          <w:b/>
        </w:rPr>
      </w:pPr>
    </w:p>
    <w:p w14:paraId="2BF5595D" w14:textId="77777777" w:rsidR="0081568E" w:rsidRDefault="0081568E" w:rsidP="00A6453A">
      <w:pPr>
        <w:jc w:val="center"/>
        <w:rPr>
          <w:b/>
        </w:rPr>
      </w:pPr>
    </w:p>
    <w:p w14:paraId="7B5E2E2C" w14:textId="77777777" w:rsidR="0081568E" w:rsidRDefault="0081568E" w:rsidP="00A6453A">
      <w:pPr>
        <w:jc w:val="center"/>
        <w:rPr>
          <w:b/>
        </w:rPr>
      </w:pPr>
    </w:p>
    <w:p w14:paraId="10935A39" w14:textId="77777777" w:rsidR="0081568E" w:rsidRDefault="0081568E" w:rsidP="00A6453A">
      <w:pPr>
        <w:jc w:val="center"/>
        <w:rPr>
          <w:b/>
        </w:rPr>
      </w:pPr>
    </w:p>
    <w:p w14:paraId="0C4E2ACF" w14:textId="77777777" w:rsidR="0081568E" w:rsidRDefault="0081568E" w:rsidP="00A6453A">
      <w:pPr>
        <w:jc w:val="center"/>
        <w:rPr>
          <w:b/>
        </w:rPr>
      </w:pPr>
    </w:p>
    <w:p w14:paraId="2DE7376F" w14:textId="77777777" w:rsidR="0081568E" w:rsidRDefault="0081568E" w:rsidP="00A6453A">
      <w:pPr>
        <w:jc w:val="center"/>
        <w:rPr>
          <w:b/>
        </w:rPr>
      </w:pPr>
    </w:p>
    <w:p w14:paraId="17711052" w14:textId="77777777" w:rsidR="0081568E" w:rsidRDefault="0081568E" w:rsidP="00A6453A">
      <w:pPr>
        <w:jc w:val="center"/>
        <w:rPr>
          <w:b/>
        </w:rPr>
      </w:pPr>
    </w:p>
    <w:p w14:paraId="784BC703" w14:textId="77777777" w:rsidR="0081568E" w:rsidRDefault="0081568E" w:rsidP="00A6453A">
      <w:pPr>
        <w:jc w:val="center"/>
        <w:rPr>
          <w:b/>
        </w:rPr>
      </w:pPr>
    </w:p>
    <w:p w14:paraId="4A7D2BC1" w14:textId="77777777" w:rsidR="0081568E" w:rsidRDefault="0081568E" w:rsidP="00A6453A">
      <w:pPr>
        <w:jc w:val="center"/>
        <w:rPr>
          <w:b/>
        </w:rPr>
      </w:pPr>
    </w:p>
    <w:p w14:paraId="2711D145" w14:textId="77777777" w:rsidR="0081568E" w:rsidRDefault="0081568E" w:rsidP="00A6453A">
      <w:pPr>
        <w:jc w:val="center"/>
        <w:rPr>
          <w:b/>
        </w:rPr>
      </w:pPr>
    </w:p>
    <w:p w14:paraId="25DE0C47" w14:textId="77777777" w:rsidR="0081568E" w:rsidRDefault="0081568E" w:rsidP="00A6453A">
      <w:pPr>
        <w:jc w:val="center"/>
        <w:rPr>
          <w:b/>
        </w:rPr>
      </w:pPr>
    </w:p>
    <w:p w14:paraId="79C526A4" w14:textId="7196162F" w:rsidR="00A6453A" w:rsidRDefault="00A6453A" w:rsidP="00A6453A">
      <w:pPr>
        <w:jc w:val="center"/>
        <w:rPr>
          <w:b/>
        </w:rPr>
      </w:pPr>
      <w:r w:rsidRPr="00A24752">
        <w:rPr>
          <w:b/>
        </w:rPr>
        <w:t xml:space="preserve">Appendix </w:t>
      </w:r>
      <w:r>
        <w:rPr>
          <w:b/>
        </w:rPr>
        <w:t>A</w:t>
      </w:r>
      <w:r w:rsidRPr="00A24752">
        <w:rPr>
          <w:b/>
        </w:rPr>
        <w:t>-</w:t>
      </w:r>
      <w:r>
        <w:rPr>
          <w:b/>
        </w:rPr>
        <w:t>1</w:t>
      </w:r>
      <w:r w:rsidR="00FD166D">
        <w:rPr>
          <w:b/>
        </w:rPr>
        <w:t>: Adopted Multi-Year Rates and Effective Dates</w:t>
      </w:r>
    </w:p>
    <w:p w14:paraId="056256DF" w14:textId="28AB6ABA" w:rsidR="00A6453A" w:rsidRDefault="00A6453A" w:rsidP="00A6453A">
      <w:pPr>
        <w:jc w:val="center"/>
        <w:rPr>
          <w:b/>
        </w:rPr>
      </w:pPr>
    </w:p>
    <w:p w14:paraId="122E0B3F" w14:textId="1F959271" w:rsidR="00A6453A" w:rsidRPr="004B5425" w:rsidRDefault="00A6453A" w:rsidP="00A6453A">
      <w:pPr>
        <w:spacing w:line="360" w:lineRule="auto"/>
        <w:jc w:val="center"/>
        <w:rPr>
          <w:b/>
          <w:bCs/>
          <w:szCs w:val="24"/>
        </w:rPr>
      </w:pPr>
      <w:r w:rsidRPr="004B5425">
        <w:rPr>
          <w:b/>
          <w:bCs/>
          <w:szCs w:val="24"/>
        </w:rPr>
        <w:t xml:space="preserve"> Wastewater Connection Fees</w:t>
      </w:r>
    </w:p>
    <w:tbl>
      <w:tblPr>
        <w:tblStyle w:val="GridTable4-Accent1"/>
        <w:tblW w:w="0" w:type="auto"/>
        <w:tblLook w:val="04A0" w:firstRow="1" w:lastRow="0" w:firstColumn="1" w:lastColumn="0" w:noHBand="0" w:noVBand="1"/>
      </w:tblPr>
      <w:tblGrid>
        <w:gridCol w:w="3145"/>
        <w:gridCol w:w="1260"/>
        <w:gridCol w:w="1260"/>
        <w:gridCol w:w="1260"/>
        <w:gridCol w:w="1260"/>
        <w:gridCol w:w="1165"/>
      </w:tblGrid>
      <w:tr w:rsidR="00A6453A" w:rsidRPr="00A53B15" w14:paraId="6BB082B2" w14:textId="77777777" w:rsidTr="00A025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0B723892" w14:textId="77777777" w:rsidR="00A6453A" w:rsidRPr="00A53B15" w:rsidRDefault="00A6453A" w:rsidP="00A02530">
            <w:pPr>
              <w:jc w:val="center"/>
              <w:rPr>
                <w:rFonts w:ascii="Times New Roman" w:hAnsi="Times New Roman" w:cs="Times New Roman"/>
                <w:sz w:val="22"/>
              </w:rPr>
            </w:pPr>
            <w:r w:rsidRPr="00A53B15">
              <w:rPr>
                <w:rFonts w:ascii="Times New Roman" w:hAnsi="Times New Roman" w:cs="Times New Roman"/>
                <w:sz w:val="22"/>
              </w:rPr>
              <w:t>Rate Description</w:t>
            </w:r>
          </w:p>
        </w:tc>
        <w:tc>
          <w:tcPr>
            <w:tcW w:w="1260" w:type="dxa"/>
          </w:tcPr>
          <w:p w14:paraId="37F0F3DC" w14:textId="77777777" w:rsidR="00A6453A" w:rsidRPr="00A53B15" w:rsidRDefault="00A6453A" w:rsidP="00A0253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rPr>
            </w:pPr>
            <w:r w:rsidRPr="00A53B15">
              <w:rPr>
                <w:rFonts w:ascii="Times New Roman" w:hAnsi="Times New Roman" w:cs="Times New Roman"/>
                <w:sz w:val="22"/>
              </w:rPr>
              <w:t>FY 2015/16</w:t>
            </w:r>
          </w:p>
        </w:tc>
        <w:tc>
          <w:tcPr>
            <w:tcW w:w="1260" w:type="dxa"/>
          </w:tcPr>
          <w:p w14:paraId="31C808F4" w14:textId="77777777" w:rsidR="00A6453A" w:rsidRPr="00A53B15" w:rsidRDefault="00A6453A" w:rsidP="00A0253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rPr>
            </w:pPr>
            <w:r w:rsidRPr="00A53B15">
              <w:rPr>
                <w:rFonts w:ascii="Times New Roman" w:hAnsi="Times New Roman" w:cs="Times New Roman"/>
                <w:sz w:val="22"/>
              </w:rPr>
              <w:t>FY 2016/17</w:t>
            </w:r>
          </w:p>
        </w:tc>
        <w:tc>
          <w:tcPr>
            <w:tcW w:w="1260" w:type="dxa"/>
          </w:tcPr>
          <w:p w14:paraId="620C3DCC" w14:textId="77777777" w:rsidR="00A6453A" w:rsidRPr="00A53B15" w:rsidRDefault="00A6453A" w:rsidP="00A0253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rPr>
            </w:pPr>
            <w:r w:rsidRPr="00A53B15">
              <w:rPr>
                <w:rFonts w:ascii="Times New Roman" w:hAnsi="Times New Roman" w:cs="Times New Roman"/>
                <w:sz w:val="22"/>
              </w:rPr>
              <w:t>FY 2017/18</w:t>
            </w:r>
          </w:p>
        </w:tc>
        <w:tc>
          <w:tcPr>
            <w:tcW w:w="1260" w:type="dxa"/>
          </w:tcPr>
          <w:p w14:paraId="0AABAE0E" w14:textId="77777777" w:rsidR="00A6453A" w:rsidRDefault="00A6453A" w:rsidP="00A0253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rPr>
            </w:pPr>
            <w:r w:rsidRPr="00A53B15">
              <w:rPr>
                <w:rFonts w:ascii="Times New Roman" w:hAnsi="Times New Roman" w:cs="Times New Roman"/>
                <w:sz w:val="22"/>
              </w:rPr>
              <w:t>FY 2018/19</w:t>
            </w:r>
          </w:p>
          <w:p w14:paraId="7740F49F" w14:textId="77777777" w:rsidR="00A6453A" w:rsidRPr="00A53B15" w:rsidRDefault="00A6453A" w:rsidP="00A0253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Projected</w:t>
            </w:r>
          </w:p>
        </w:tc>
        <w:tc>
          <w:tcPr>
            <w:tcW w:w="1165" w:type="dxa"/>
          </w:tcPr>
          <w:p w14:paraId="11F5780B" w14:textId="77777777" w:rsidR="00A6453A" w:rsidRDefault="00A6453A" w:rsidP="00A0253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rPr>
            </w:pPr>
            <w:r w:rsidRPr="00A53B15">
              <w:rPr>
                <w:rFonts w:ascii="Times New Roman" w:hAnsi="Times New Roman" w:cs="Times New Roman"/>
                <w:sz w:val="22"/>
              </w:rPr>
              <w:t>FY 2019/20</w:t>
            </w:r>
          </w:p>
          <w:p w14:paraId="110AF047" w14:textId="77777777" w:rsidR="00A6453A" w:rsidRPr="00A53B15" w:rsidRDefault="00A6453A" w:rsidP="00A0253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Projected</w:t>
            </w:r>
          </w:p>
        </w:tc>
      </w:tr>
      <w:tr w:rsidR="00A6453A" w:rsidRPr="00A53B15" w14:paraId="44F756E7" w14:textId="77777777" w:rsidTr="00A025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6D92DBA0" w14:textId="77777777" w:rsidR="00A6453A" w:rsidRPr="00A53B15" w:rsidRDefault="00A6453A" w:rsidP="00A02530">
            <w:pPr>
              <w:rPr>
                <w:rFonts w:ascii="Times New Roman" w:hAnsi="Times New Roman" w:cs="Times New Roman"/>
                <w:sz w:val="22"/>
              </w:rPr>
            </w:pPr>
            <w:r w:rsidRPr="00A53B15">
              <w:rPr>
                <w:rFonts w:ascii="Times New Roman" w:hAnsi="Times New Roman" w:cs="Times New Roman"/>
                <w:sz w:val="22"/>
              </w:rPr>
              <w:t>Wastewater Connection Fee</w:t>
            </w:r>
          </w:p>
        </w:tc>
        <w:tc>
          <w:tcPr>
            <w:tcW w:w="1260" w:type="dxa"/>
            <w:vAlign w:val="center"/>
          </w:tcPr>
          <w:p w14:paraId="360077CC" w14:textId="77777777" w:rsidR="00A6453A" w:rsidRPr="00A53B15" w:rsidRDefault="00A6453A" w:rsidP="00A025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A53B15">
              <w:rPr>
                <w:rFonts w:ascii="Times New Roman" w:hAnsi="Times New Roman" w:cs="Times New Roman"/>
                <w:sz w:val="22"/>
              </w:rPr>
              <w:t>$5,415</w:t>
            </w:r>
          </w:p>
        </w:tc>
        <w:tc>
          <w:tcPr>
            <w:tcW w:w="1260" w:type="dxa"/>
            <w:vAlign w:val="center"/>
          </w:tcPr>
          <w:p w14:paraId="4B008B86" w14:textId="77777777" w:rsidR="00A6453A" w:rsidRPr="00A53B15" w:rsidRDefault="00A6453A" w:rsidP="00A025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A53B15">
              <w:rPr>
                <w:rFonts w:ascii="Times New Roman" w:hAnsi="Times New Roman" w:cs="Times New Roman"/>
                <w:sz w:val="22"/>
              </w:rPr>
              <w:t>$6,009</w:t>
            </w:r>
          </w:p>
        </w:tc>
        <w:tc>
          <w:tcPr>
            <w:tcW w:w="1260" w:type="dxa"/>
            <w:vAlign w:val="center"/>
          </w:tcPr>
          <w:p w14:paraId="6EF57948" w14:textId="77777777" w:rsidR="00A6453A" w:rsidRPr="00A53B15" w:rsidRDefault="00A6453A" w:rsidP="00A025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A53B15">
              <w:rPr>
                <w:rFonts w:ascii="Times New Roman" w:hAnsi="Times New Roman" w:cs="Times New Roman"/>
                <w:sz w:val="22"/>
              </w:rPr>
              <w:t>$6,309</w:t>
            </w:r>
          </w:p>
        </w:tc>
        <w:tc>
          <w:tcPr>
            <w:tcW w:w="1260" w:type="dxa"/>
            <w:vAlign w:val="center"/>
          </w:tcPr>
          <w:p w14:paraId="5A3AA4AF" w14:textId="77777777" w:rsidR="00A6453A" w:rsidRPr="00A53B15" w:rsidRDefault="00A6453A" w:rsidP="00A025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A53B15">
              <w:rPr>
                <w:rFonts w:ascii="Times New Roman" w:hAnsi="Times New Roman" w:cs="Times New Roman"/>
                <w:sz w:val="22"/>
              </w:rPr>
              <w:t>$6,624</w:t>
            </w:r>
          </w:p>
        </w:tc>
        <w:tc>
          <w:tcPr>
            <w:tcW w:w="1165" w:type="dxa"/>
            <w:vAlign w:val="center"/>
          </w:tcPr>
          <w:p w14:paraId="16CCAC36" w14:textId="77777777" w:rsidR="00A6453A" w:rsidRPr="00A53B15" w:rsidRDefault="00A6453A" w:rsidP="00A025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A53B15">
              <w:rPr>
                <w:rFonts w:ascii="Times New Roman" w:hAnsi="Times New Roman" w:cs="Times New Roman"/>
                <w:sz w:val="22"/>
              </w:rPr>
              <w:t>$6,955</w:t>
            </w:r>
          </w:p>
        </w:tc>
      </w:tr>
      <w:tr w:rsidR="00A6453A" w:rsidRPr="00A53B15" w14:paraId="1661415B" w14:textId="77777777" w:rsidTr="00A02530">
        <w:tc>
          <w:tcPr>
            <w:cnfStyle w:val="001000000000" w:firstRow="0" w:lastRow="0" w:firstColumn="1" w:lastColumn="0" w:oddVBand="0" w:evenVBand="0" w:oddHBand="0" w:evenHBand="0" w:firstRowFirstColumn="0" w:firstRowLastColumn="0" w:lastRowFirstColumn="0" w:lastRowLastColumn="0"/>
            <w:tcW w:w="3145" w:type="dxa"/>
          </w:tcPr>
          <w:p w14:paraId="5FCDBA1A" w14:textId="77777777" w:rsidR="00A6453A" w:rsidRPr="00A53B15" w:rsidRDefault="00A6453A" w:rsidP="00A02530">
            <w:pPr>
              <w:rPr>
                <w:rFonts w:ascii="Times New Roman" w:hAnsi="Times New Roman" w:cs="Times New Roman"/>
                <w:sz w:val="22"/>
              </w:rPr>
            </w:pPr>
            <w:r w:rsidRPr="00A53B15">
              <w:rPr>
                <w:rFonts w:ascii="Times New Roman" w:hAnsi="Times New Roman" w:cs="Times New Roman"/>
                <w:sz w:val="22"/>
              </w:rPr>
              <w:t>Effective Date</w:t>
            </w:r>
          </w:p>
        </w:tc>
        <w:tc>
          <w:tcPr>
            <w:tcW w:w="1260" w:type="dxa"/>
            <w:vAlign w:val="center"/>
          </w:tcPr>
          <w:p w14:paraId="72695DA5" w14:textId="77777777" w:rsidR="00A6453A" w:rsidRPr="00A53B15" w:rsidRDefault="00A6453A" w:rsidP="00A025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A53B15">
              <w:rPr>
                <w:rFonts w:ascii="Times New Roman" w:hAnsi="Times New Roman" w:cs="Times New Roman"/>
                <w:sz w:val="22"/>
              </w:rPr>
              <w:t>1/01/16</w:t>
            </w:r>
          </w:p>
        </w:tc>
        <w:tc>
          <w:tcPr>
            <w:tcW w:w="1260" w:type="dxa"/>
            <w:vAlign w:val="center"/>
          </w:tcPr>
          <w:p w14:paraId="4F3A79DA" w14:textId="77777777" w:rsidR="00A6453A" w:rsidRPr="00A53B15" w:rsidRDefault="00A6453A" w:rsidP="00A025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A53B15">
              <w:rPr>
                <w:rFonts w:ascii="Times New Roman" w:hAnsi="Times New Roman" w:cs="Times New Roman"/>
                <w:sz w:val="22"/>
              </w:rPr>
              <w:t>1/01/17</w:t>
            </w:r>
          </w:p>
        </w:tc>
        <w:tc>
          <w:tcPr>
            <w:tcW w:w="1260" w:type="dxa"/>
            <w:vAlign w:val="center"/>
          </w:tcPr>
          <w:p w14:paraId="1161843A" w14:textId="77777777" w:rsidR="00A6453A" w:rsidRPr="00A53B15" w:rsidRDefault="00A6453A" w:rsidP="00A025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A53B15">
              <w:rPr>
                <w:rFonts w:ascii="Times New Roman" w:hAnsi="Times New Roman" w:cs="Times New Roman"/>
                <w:sz w:val="22"/>
              </w:rPr>
              <w:t>7/01/17</w:t>
            </w:r>
          </w:p>
        </w:tc>
        <w:tc>
          <w:tcPr>
            <w:tcW w:w="1260" w:type="dxa"/>
            <w:vAlign w:val="center"/>
          </w:tcPr>
          <w:p w14:paraId="651A6B5A" w14:textId="77777777" w:rsidR="00A6453A" w:rsidRPr="00A53B15" w:rsidRDefault="00A6453A" w:rsidP="00A025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A53B15">
              <w:rPr>
                <w:rFonts w:ascii="Times New Roman" w:hAnsi="Times New Roman" w:cs="Times New Roman"/>
                <w:sz w:val="22"/>
              </w:rPr>
              <w:t>7/01/18</w:t>
            </w:r>
          </w:p>
        </w:tc>
        <w:tc>
          <w:tcPr>
            <w:tcW w:w="1165" w:type="dxa"/>
            <w:vAlign w:val="center"/>
          </w:tcPr>
          <w:p w14:paraId="41954412" w14:textId="77777777" w:rsidR="00A6453A" w:rsidRPr="00A53B15" w:rsidRDefault="00A6453A" w:rsidP="00A025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A53B15">
              <w:rPr>
                <w:rFonts w:ascii="Times New Roman" w:hAnsi="Times New Roman" w:cs="Times New Roman"/>
                <w:sz w:val="22"/>
              </w:rPr>
              <w:t>7/01/19</w:t>
            </w:r>
          </w:p>
        </w:tc>
      </w:tr>
      <w:tr w:rsidR="00A6453A" w:rsidRPr="00A53B15" w14:paraId="3C142C5D" w14:textId="77777777" w:rsidTr="00A025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2C14F93B" w14:textId="77777777" w:rsidR="00A6453A" w:rsidRPr="00A53B15" w:rsidRDefault="00A6453A" w:rsidP="00A02530">
            <w:pPr>
              <w:rPr>
                <w:rFonts w:ascii="Times New Roman" w:hAnsi="Times New Roman" w:cs="Times New Roman"/>
                <w:sz w:val="22"/>
              </w:rPr>
            </w:pPr>
            <w:r w:rsidRPr="00A53B15">
              <w:rPr>
                <w:rFonts w:ascii="Times New Roman" w:hAnsi="Times New Roman" w:cs="Times New Roman"/>
                <w:sz w:val="22"/>
              </w:rPr>
              <w:t>Wastewater Connection Units</w:t>
            </w:r>
          </w:p>
        </w:tc>
        <w:tc>
          <w:tcPr>
            <w:tcW w:w="1260" w:type="dxa"/>
            <w:vAlign w:val="center"/>
          </w:tcPr>
          <w:p w14:paraId="3BAA169D" w14:textId="77777777" w:rsidR="00A6453A" w:rsidRPr="00A53B15" w:rsidRDefault="00A6453A" w:rsidP="00A025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A53B15">
              <w:rPr>
                <w:rFonts w:ascii="Times New Roman" w:hAnsi="Times New Roman" w:cs="Times New Roman"/>
                <w:sz w:val="22"/>
              </w:rPr>
              <w:t>4,774</w:t>
            </w:r>
          </w:p>
        </w:tc>
        <w:tc>
          <w:tcPr>
            <w:tcW w:w="1260" w:type="dxa"/>
            <w:vAlign w:val="center"/>
          </w:tcPr>
          <w:p w14:paraId="07325822" w14:textId="77777777" w:rsidR="00A6453A" w:rsidRPr="00A53B15" w:rsidRDefault="00A6453A" w:rsidP="00A025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5,155</w:t>
            </w:r>
          </w:p>
        </w:tc>
        <w:tc>
          <w:tcPr>
            <w:tcW w:w="1260" w:type="dxa"/>
            <w:vAlign w:val="center"/>
          </w:tcPr>
          <w:p w14:paraId="316BD4B0" w14:textId="77777777" w:rsidR="00A6453A" w:rsidRPr="00A53B15" w:rsidRDefault="00A6453A" w:rsidP="00A025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5,223</w:t>
            </w:r>
          </w:p>
        </w:tc>
        <w:tc>
          <w:tcPr>
            <w:tcW w:w="1260" w:type="dxa"/>
            <w:vAlign w:val="center"/>
          </w:tcPr>
          <w:p w14:paraId="10CB3098" w14:textId="77777777" w:rsidR="00A6453A" w:rsidRPr="00A53B15" w:rsidRDefault="00A6453A" w:rsidP="00A025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4</w:t>
            </w:r>
            <w:r w:rsidRPr="00A53B15">
              <w:rPr>
                <w:rFonts w:ascii="Times New Roman" w:hAnsi="Times New Roman" w:cs="Times New Roman"/>
                <w:sz w:val="22"/>
              </w:rPr>
              <w:t>,000</w:t>
            </w:r>
          </w:p>
        </w:tc>
        <w:tc>
          <w:tcPr>
            <w:tcW w:w="1165" w:type="dxa"/>
            <w:vAlign w:val="center"/>
          </w:tcPr>
          <w:p w14:paraId="5E13E3BA" w14:textId="77777777" w:rsidR="00A6453A" w:rsidRPr="00A53B15" w:rsidRDefault="00A6453A" w:rsidP="00A025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4</w:t>
            </w:r>
            <w:r w:rsidRPr="00A53B15">
              <w:rPr>
                <w:rFonts w:ascii="Times New Roman" w:hAnsi="Times New Roman" w:cs="Times New Roman"/>
                <w:sz w:val="22"/>
              </w:rPr>
              <w:t>,</w:t>
            </w:r>
            <w:r>
              <w:rPr>
                <w:rFonts w:ascii="Times New Roman" w:hAnsi="Times New Roman" w:cs="Times New Roman"/>
                <w:sz w:val="22"/>
              </w:rPr>
              <w:t>0</w:t>
            </w:r>
            <w:r w:rsidRPr="00A53B15">
              <w:rPr>
                <w:rFonts w:ascii="Times New Roman" w:hAnsi="Times New Roman" w:cs="Times New Roman"/>
                <w:sz w:val="22"/>
              </w:rPr>
              <w:t>00</w:t>
            </w:r>
          </w:p>
        </w:tc>
      </w:tr>
    </w:tbl>
    <w:p w14:paraId="6CF6C4CC" w14:textId="77777777" w:rsidR="00A6453A" w:rsidRPr="004B5425" w:rsidRDefault="00A6453A" w:rsidP="00A6453A">
      <w:pPr>
        <w:spacing w:line="360" w:lineRule="auto"/>
        <w:jc w:val="center"/>
        <w:rPr>
          <w:b/>
          <w:bCs/>
          <w:szCs w:val="24"/>
        </w:rPr>
      </w:pPr>
    </w:p>
    <w:p w14:paraId="51E8BE38" w14:textId="481FB3CB" w:rsidR="00A6453A" w:rsidRPr="004B5425" w:rsidRDefault="00A6453A" w:rsidP="00A6453A">
      <w:pPr>
        <w:spacing w:line="360" w:lineRule="auto"/>
        <w:jc w:val="center"/>
        <w:rPr>
          <w:b/>
          <w:bCs/>
          <w:szCs w:val="24"/>
        </w:rPr>
      </w:pPr>
      <w:r w:rsidRPr="004B5425">
        <w:rPr>
          <w:b/>
          <w:bCs/>
          <w:szCs w:val="24"/>
        </w:rPr>
        <w:t>Monthly EDU Sewage Rates</w:t>
      </w:r>
    </w:p>
    <w:tbl>
      <w:tblPr>
        <w:tblStyle w:val="GridTable4-Accent1"/>
        <w:tblW w:w="0" w:type="auto"/>
        <w:tblLook w:val="04A0" w:firstRow="1" w:lastRow="0" w:firstColumn="1" w:lastColumn="0" w:noHBand="0" w:noVBand="1"/>
      </w:tblPr>
      <w:tblGrid>
        <w:gridCol w:w="3145"/>
        <w:gridCol w:w="1260"/>
        <w:gridCol w:w="1260"/>
        <w:gridCol w:w="1260"/>
        <w:gridCol w:w="1260"/>
        <w:gridCol w:w="1165"/>
      </w:tblGrid>
      <w:tr w:rsidR="00A6453A" w:rsidRPr="00A53B15" w14:paraId="32FF3EA2" w14:textId="77777777" w:rsidTr="00A025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68D64AC6" w14:textId="77777777" w:rsidR="00A6453A" w:rsidRPr="00A53B15" w:rsidRDefault="00A6453A" w:rsidP="00A02530">
            <w:pPr>
              <w:jc w:val="center"/>
              <w:rPr>
                <w:rFonts w:ascii="Times New Roman" w:hAnsi="Times New Roman" w:cs="Times New Roman"/>
                <w:sz w:val="22"/>
              </w:rPr>
            </w:pPr>
            <w:r w:rsidRPr="00A53B15">
              <w:rPr>
                <w:rFonts w:ascii="Times New Roman" w:hAnsi="Times New Roman" w:cs="Times New Roman"/>
                <w:sz w:val="22"/>
              </w:rPr>
              <w:t>Rate Description</w:t>
            </w:r>
          </w:p>
        </w:tc>
        <w:tc>
          <w:tcPr>
            <w:tcW w:w="1260" w:type="dxa"/>
          </w:tcPr>
          <w:p w14:paraId="7FFF855D" w14:textId="77777777" w:rsidR="00A6453A" w:rsidRPr="00A53B15" w:rsidRDefault="00A6453A" w:rsidP="00A0253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rPr>
            </w:pPr>
            <w:r w:rsidRPr="00A53B15">
              <w:rPr>
                <w:rFonts w:ascii="Times New Roman" w:hAnsi="Times New Roman" w:cs="Times New Roman"/>
                <w:sz w:val="22"/>
              </w:rPr>
              <w:t>FY 2015/16</w:t>
            </w:r>
          </w:p>
        </w:tc>
        <w:tc>
          <w:tcPr>
            <w:tcW w:w="1260" w:type="dxa"/>
          </w:tcPr>
          <w:p w14:paraId="08AC2F29" w14:textId="77777777" w:rsidR="00A6453A" w:rsidRPr="00A53B15" w:rsidRDefault="00A6453A" w:rsidP="00A0253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rPr>
            </w:pPr>
            <w:r w:rsidRPr="00A53B15">
              <w:rPr>
                <w:rFonts w:ascii="Times New Roman" w:hAnsi="Times New Roman" w:cs="Times New Roman"/>
                <w:sz w:val="22"/>
              </w:rPr>
              <w:t>FY 2016/17</w:t>
            </w:r>
          </w:p>
        </w:tc>
        <w:tc>
          <w:tcPr>
            <w:tcW w:w="1260" w:type="dxa"/>
          </w:tcPr>
          <w:p w14:paraId="5099DA70" w14:textId="77777777" w:rsidR="00A6453A" w:rsidRPr="00A53B15" w:rsidRDefault="00A6453A" w:rsidP="00A0253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rPr>
            </w:pPr>
            <w:r w:rsidRPr="00A53B15">
              <w:rPr>
                <w:rFonts w:ascii="Times New Roman" w:hAnsi="Times New Roman" w:cs="Times New Roman"/>
                <w:sz w:val="22"/>
              </w:rPr>
              <w:t>FY 2017/18</w:t>
            </w:r>
          </w:p>
        </w:tc>
        <w:tc>
          <w:tcPr>
            <w:tcW w:w="1260" w:type="dxa"/>
          </w:tcPr>
          <w:p w14:paraId="395DCA69" w14:textId="77777777" w:rsidR="00A6453A" w:rsidRPr="00097D6D" w:rsidRDefault="00A6453A" w:rsidP="00A0253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rPr>
            </w:pPr>
            <w:r w:rsidRPr="00A53B15">
              <w:rPr>
                <w:rFonts w:ascii="Times New Roman" w:hAnsi="Times New Roman" w:cs="Times New Roman"/>
                <w:sz w:val="22"/>
              </w:rPr>
              <w:t>FY 2018/19</w:t>
            </w:r>
          </w:p>
        </w:tc>
        <w:tc>
          <w:tcPr>
            <w:tcW w:w="1165" w:type="dxa"/>
          </w:tcPr>
          <w:p w14:paraId="5E2B022C" w14:textId="77777777" w:rsidR="00A6453A" w:rsidRPr="00A53B15" w:rsidRDefault="00A6453A" w:rsidP="00A0253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rPr>
            </w:pPr>
            <w:r w:rsidRPr="00A53B15">
              <w:rPr>
                <w:rFonts w:ascii="Times New Roman" w:hAnsi="Times New Roman" w:cs="Times New Roman"/>
                <w:sz w:val="22"/>
              </w:rPr>
              <w:t>FY 2019/20</w:t>
            </w:r>
          </w:p>
        </w:tc>
      </w:tr>
      <w:tr w:rsidR="00A6453A" w:rsidRPr="00A53B15" w14:paraId="70D04231" w14:textId="77777777" w:rsidTr="00A025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05128EDE" w14:textId="77777777" w:rsidR="00A6453A" w:rsidRPr="00A53B15" w:rsidRDefault="00A6453A" w:rsidP="00A02530">
            <w:pPr>
              <w:rPr>
                <w:rFonts w:ascii="Times New Roman" w:hAnsi="Times New Roman" w:cs="Times New Roman"/>
                <w:sz w:val="22"/>
              </w:rPr>
            </w:pPr>
            <w:r w:rsidRPr="00A53B15">
              <w:rPr>
                <w:rFonts w:ascii="Times New Roman" w:hAnsi="Times New Roman" w:cs="Times New Roman"/>
                <w:sz w:val="22"/>
              </w:rPr>
              <w:t>EDU Volumetric Rate</w:t>
            </w:r>
          </w:p>
        </w:tc>
        <w:tc>
          <w:tcPr>
            <w:tcW w:w="1260" w:type="dxa"/>
            <w:vAlign w:val="center"/>
          </w:tcPr>
          <w:p w14:paraId="33FF8F19" w14:textId="77777777" w:rsidR="00A6453A" w:rsidRPr="00A53B15" w:rsidRDefault="00A6453A" w:rsidP="00A025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A53B15">
              <w:rPr>
                <w:rFonts w:ascii="Times New Roman" w:hAnsi="Times New Roman" w:cs="Times New Roman"/>
                <w:sz w:val="22"/>
              </w:rPr>
              <w:t>$15.89</w:t>
            </w:r>
          </w:p>
        </w:tc>
        <w:tc>
          <w:tcPr>
            <w:tcW w:w="1260" w:type="dxa"/>
            <w:vAlign w:val="center"/>
          </w:tcPr>
          <w:p w14:paraId="6E21919D" w14:textId="77777777" w:rsidR="00A6453A" w:rsidRPr="00A53B15" w:rsidRDefault="00A6453A" w:rsidP="00A025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A53B15">
              <w:rPr>
                <w:rFonts w:ascii="Times New Roman" w:hAnsi="Times New Roman" w:cs="Times New Roman"/>
                <w:sz w:val="22"/>
              </w:rPr>
              <w:t>$17.14</w:t>
            </w:r>
          </w:p>
        </w:tc>
        <w:tc>
          <w:tcPr>
            <w:tcW w:w="1260" w:type="dxa"/>
            <w:vAlign w:val="center"/>
          </w:tcPr>
          <w:p w14:paraId="18DC2495" w14:textId="77777777" w:rsidR="00A6453A" w:rsidRPr="00A53B15" w:rsidRDefault="00A6453A" w:rsidP="00A025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A53B15">
              <w:rPr>
                <w:rFonts w:ascii="Times New Roman" w:hAnsi="Times New Roman" w:cs="Times New Roman"/>
                <w:sz w:val="22"/>
              </w:rPr>
              <w:t>$18.39</w:t>
            </w:r>
          </w:p>
        </w:tc>
        <w:tc>
          <w:tcPr>
            <w:tcW w:w="1260" w:type="dxa"/>
            <w:vAlign w:val="center"/>
          </w:tcPr>
          <w:p w14:paraId="50741503" w14:textId="77777777" w:rsidR="00A6453A" w:rsidRPr="00A53B15" w:rsidRDefault="00A6453A" w:rsidP="00A025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A53B15">
              <w:rPr>
                <w:rFonts w:ascii="Times New Roman" w:hAnsi="Times New Roman" w:cs="Times New Roman"/>
                <w:sz w:val="22"/>
              </w:rPr>
              <w:t>$19.59</w:t>
            </w:r>
          </w:p>
        </w:tc>
        <w:tc>
          <w:tcPr>
            <w:tcW w:w="1165" w:type="dxa"/>
            <w:vAlign w:val="center"/>
          </w:tcPr>
          <w:p w14:paraId="1056E65D" w14:textId="77777777" w:rsidR="00A6453A" w:rsidRPr="00A53B15" w:rsidRDefault="00A6453A" w:rsidP="00A025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A53B15">
              <w:rPr>
                <w:rFonts w:ascii="Times New Roman" w:hAnsi="Times New Roman" w:cs="Times New Roman"/>
                <w:sz w:val="22"/>
              </w:rPr>
              <w:t>$20.00</w:t>
            </w:r>
          </w:p>
        </w:tc>
      </w:tr>
      <w:tr w:rsidR="00A6453A" w:rsidRPr="00A53B15" w14:paraId="6BF3D997" w14:textId="77777777" w:rsidTr="00A02530">
        <w:tc>
          <w:tcPr>
            <w:cnfStyle w:val="001000000000" w:firstRow="0" w:lastRow="0" w:firstColumn="1" w:lastColumn="0" w:oddVBand="0" w:evenVBand="0" w:oddHBand="0" w:evenHBand="0" w:firstRowFirstColumn="0" w:firstRowLastColumn="0" w:lastRowFirstColumn="0" w:lastRowLastColumn="0"/>
            <w:tcW w:w="3145" w:type="dxa"/>
          </w:tcPr>
          <w:p w14:paraId="00884BCA" w14:textId="77777777" w:rsidR="00A6453A" w:rsidRPr="00A53B15" w:rsidRDefault="00A6453A" w:rsidP="00A02530">
            <w:pPr>
              <w:rPr>
                <w:rFonts w:ascii="Times New Roman" w:hAnsi="Times New Roman" w:cs="Times New Roman"/>
                <w:sz w:val="22"/>
              </w:rPr>
            </w:pPr>
            <w:r w:rsidRPr="00A53B15">
              <w:rPr>
                <w:rFonts w:ascii="Times New Roman" w:hAnsi="Times New Roman" w:cs="Times New Roman"/>
                <w:sz w:val="22"/>
              </w:rPr>
              <w:t>Effective Date</w:t>
            </w:r>
          </w:p>
        </w:tc>
        <w:tc>
          <w:tcPr>
            <w:tcW w:w="1260" w:type="dxa"/>
            <w:vAlign w:val="center"/>
          </w:tcPr>
          <w:p w14:paraId="07D02CC6" w14:textId="77777777" w:rsidR="00A6453A" w:rsidRPr="00A53B15" w:rsidRDefault="00A6453A" w:rsidP="00A025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A53B15">
              <w:rPr>
                <w:rFonts w:ascii="Times New Roman" w:hAnsi="Times New Roman" w:cs="Times New Roman"/>
                <w:sz w:val="22"/>
              </w:rPr>
              <w:t>10/01/15</w:t>
            </w:r>
          </w:p>
        </w:tc>
        <w:tc>
          <w:tcPr>
            <w:tcW w:w="1260" w:type="dxa"/>
            <w:vAlign w:val="center"/>
          </w:tcPr>
          <w:p w14:paraId="585257BC" w14:textId="77777777" w:rsidR="00A6453A" w:rsidRPr="00A53B15" w:rsidRDefault="00A6453A" w:rsidP="00A025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A53B15">
              <w:rPr>
                <w:rFonts w:ascii="Times New Roman" w:hAnsi="Times New Roman" w:cs="Times New Roman"/>
                <w:sz w:val="22"/>
              </w:rPr>
              <w:t>7/01/16</w:t>
            </w:r>
          </w:p>
        </w:tc>
        <w:tc>
          <w:tcPr>
            <w:tcW w:w="1260" w:type="dxa"/>
            <w:vAlign w:val="center"/>
          </w:tcPr>
          <w:p w14:paraId="69FCA84A" w14:textId="77777777" w:rsidR="00A6453A" w:rsidRPr="00A53B15" w:rsidRDefault="00A6453A" w:rsidP="00A025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A53B15">
              <w:rPr>
                <w:rFonts w:ascii="Times New Roman" w:hAnsi="Times New Roman" w:cs="Times New Roman"/>
                <w:sz w:val="22"/>
              </w:rPr>
              <w:t>7/01/17</w:t>
            </w:r>
          </w:p>
        </w:tc>
        <w:tc>
          <w:tcPr>
            <w:tcW w:w="1260" w:type="dxa"/>
            <w:vAlign w:val="center"/>
          </w:tcPr>
          <w:p w14:paraId="1CD11113" w14:textId="77777777" w:rsidR="00A6453A" w:rsidRPr="00A53B15" w:rsidRDefault="00A6453A" w:rsidP="00A025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A53B15">
              <w:rPr>
                <w:rFonts w:ascii="Times New Roman" w:hAnsi="Times New Roman" w:cs="Times New Roman"/>
                <w:sz w:val="22"/>
              </w:rPr>
              <w:t>7/01/18</w:t>
            </w:r>
          </w:p>
        </w:tc>
        <w:tc>
          <w:tcPr>
            <w:tcW w:w="1165" w:type="dxa"/>
            <w:vAlign w:val="center"/>
          </w:tcPr>
          <w:p w14:paraId="1B88D8DA" w14:textId="77777777" w:rsidR="00A6453A" w:rsidRPr="00A53B15" w:rsidRDefault="00A6453A" w:rsidP="00A025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A53B15">
              <w:rPr>
                <w:rFonts w:ascii="Times New Roman" w:hAnsi="Times New Roman" w:cs="Times New Roman"/>
                <w:sz w:val="22"/>
              </w:rPr>
              <w:t>7/01/19</w:t>
            </w:r>
          </w:p>
        </w:tc>
      </w:tr>
    </w:tbl>
    <w:p w14:paraId="04EF711E" w14:textId="6A77BABE" w:rsidR="00A6453A" w:rsidRDefault="00A6453A" w:rsidP="00A6453A">
      <w:pPr>
        <w:spacing w:line="360" w:lineRule="auto"/>
        <w:jc w:val="center"/>
        <w:rPr>
          <w:b/>
          <w:bCs/>
          <w:szCs w:val="24"/>
        </w:rPr>
      </w:pPr>
    </w:p>
    <w:p w14:paraId="63195CA0" w14:textId="03415C2D" w:rsidR="00A6453A" w:rsidRPr="004B5425" w:rsidRDefault="00A6453A" w:rsidP="00A6453A">
      <w:pPr>
        <w:spacing w:line="360" w:lineRule="auto"/>
        <w:jc w:val="center"/>
        <w:rPr>
          <w:b/>
          <w:bCs/>
          <w:szCs w:val="24"/>
        </w:rPr>
      </w:pPr>
      <w:r w:rsidRPr="004B5425">
        <w:rPr>
          <w:b/>
          <w:bCs/>
          <w:szCs w:val="24"/>
        </w:rPr>
        <w:t>Recycled Water Rates</w:t>
      </w:r>
    </w:p>
    <w:tbl>
      <w:tblPr>
        <w:tblStyle w:val="GridTable4-Accent1"/>
        <w:tblW w:w="0" w:type="auto"/>
        <w:tblLook w:val="04A0" w:firstRow="1" w:lastRow="0" w:firstColumn="1" w:lastColumn="0" w:noHBand="0" w:noVBand="1"/>
      </w:tblPr>
      <w:tblGrid>
        <w:gridCol w:w="3145"/>
        <w:gridCol w:w="1260"/>
        <w:gridCol w:w="1260"/>
        <w:gridCol w:w="1260"/>
        <w:gridCol w:w="1260"/>
        <w:gridCol w:w="1165"/>
      </w:tblGrid>
      <w:tr w:rsidR="00A6453A" w:rsidRPr="00A53B15" w14:paraId="5635BB64" w14:textId="77777777" w:rsidTr="00A025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F033EFD" w14:textId="77777777" w:rsidR="00A6453A" w:rsidRPr="00A53B15" w:rsidRDefault="00A6453A" w:rsidP="00A02530">
            <w:pPr>
              <w:jc w:val="center"/>
              <w:rPr>
                <w:rFonts w:ascii="Times New Roman" w:hAnsi="Times New Roman" w:cs="Times New Roman"/>
                <w:sz w:val="22"/>
              </w:rPr>
            </w:pPr>
            <w:r w:rsidRPr="00A53B15">
              <w:rPr>
                <w:rFonts w:ascii="Times New Roman" w:hAnsi="Times New Roman" w:cs="Times New Roman"/>
                <w:sz w:val="22"/>
              </w:rPr>
              <w:t>Rate Description</w:t>
            </w:r>
          </w:p>
        </w:tc>
        <w:tc>
          <w:tcPr>
            <w:tcW w:w="1260" w:type="dxa"/>
          </w:tcPr>
          <w:p w14:paraId="1A945A16" w14:textId="77777777" w:rsidR="00A6453A" w:rsidRPr="00A53B15" w:rsidRDefault="00A6453A" w:rsidP="00A0253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rPr>
            </w:pPr>
            <w:r w:rsidRPr="00A53B15">
              <w:rPr>
                <w:rFonts w:ascii="Times New Roman" w:hAnsi="Times New Roman" w:cs="Times New Roman"/>
                <w:sz w:val="22"/>
              </w:rPr>
              <w:t>FY 2015/16</w:t>
            </w:r>
          </w:p>
        </w:tc>
        <w:tc>
          <w:tcPr>
            <w:tcW w:w="1260" w:type="dxa"/>
          </w:tcPr>
          <w:p w14:paraId="4850C03B" w14:textId="77777777" w:rsidR="00A6453A" w:rsidRPr="00A53B15" w:rsidRDefault="00A6453A" w:rsidP="00A0253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rPr>
            </w:pPr>
            <w:r w:rsidRPr="00A53B15">
              <w:rPr>
                <w:rFonts w:ascii="Times New Roman" w:hAnsi="Times New Roman" w:cs="Times New Roman"/>
                <w:sz w:val="22"/>
              </w:rPr>
              <w:t>FY 2016/17</w:t>
            </w:r>
          </w:p>
        </w:tc>
        <w:tc>
          <w:tcPr>
            <w:tcW w:w="1260" w:type="dxa"/>
          </w:tcPr>
          <w:p w14:paraId="5CEB60C9" w14:textId="77777777" w:rsidR="00A6453A" w:rsidRPr="00A53B15" w:rsidRDefault="00A6453A" w:rsidP="00A0253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rPr>
            </w:pPr>
            <w:r w:rsidRPr="00A53B15">
              <w:rPr>
                <w:rFonts w:ascii="Times New Roman" w:hAnsi="Times New Roman" w:cs="Times New Roman"/>
                <w:sz w:val="22"/>
              </w:rPr>
              <w:t>FY 2017/18</w:t>
            </w:r>
          </w:p>
        </w:tc>
        <w:tc>
          <w:tcPr>
            <w:tcW w:w="1260" w:type="dxa"/>
          </w:tcPr>
          <w:p w14:paraId="4CECF88E" w14:textId="77777777" w:rsidR="00A6453A" w:rsidRDefault="00A6453A" w:rsidP="00A0253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rPr>
            </w:pPr>
            <w:r w:rsidRPr="00A53B15">
              <w:rPr>
                <w:rFonts w:ascii="Times New Roman" w:hAnsi="Times New Roman" w:cs="Times New Roman"/>
                <w:sz w:val="22"/>
              </w:rPr>
              <w:t>FY 2018/19</w:t>
            </w:r>
          </w:p>
          <w:p w14:paraId="3A082AE4" w14:textId="77777777" w:rsidR="00A6453A" w:rsidRPr="00A53B15" w:rsidRDefault="00A6453A" w:rsidP="00A0253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Projected</w:t>
            </w:r>
          </w:p>
        </w:tc>
        <w:tc>
          <w:tcPr>
            <w:tcW w:w="1165" w:type="dxa"/>
          </w:tcPr>
          <w:p w14:paraId="6662355B" w14:textId="77777777" w:rsidR="00A6453A" w:rsidRDefault="00A6453A" w:rsidP="00A0253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rPr>
            </w:pPr>
            <w:r w:rsidRPr="00A53B15">
              <w:rPr>
                <w:rFonts w:ascii="Times New Roman" w:hAnsi="Times New Roman" w:cs="Times New Roman"/>
                <w:sz w:val="22"/>
              </w:rPr>
              <w:t>FY 2019/20</w:t>
            </w:r>
          </w:p>
          <w:p w14:paraId="60A5DDAA" w14:textId="77777777" w:rsidR="00A6453A" w:rsidRPr="00A53B15" w:rsidRDefault="00A6453A" w:rsidP="00A0253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Projected</w:t>
            </w:r>
          </w:p>
        </w:tc>
      </w:tr>
      <w:tr w:rsidR="00A6453A" w:rsidRPr="00A53B15" w14:paraId="38E97651" w14:textId="77777777" w:rsidTr="00A025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6662D619" w14:textId="77777777" w:rsidR="00A6453A" w:rsidRPr="00A53B15" w:rsidRDefault="00A6453A" w:rsidP="00A02530">
            <w:pPr>
              <w:rPr>
                <w:rFonts w:ascii="Times New Roman" w:hAnsi="Times New Roman" w:cs="Times New Roman"/>
                <w:sz w:val="22"/>
              </w:rPr>
            </w:pPr>
            <w:r w:rsidRPr="00A53B15">
              <w:rPr>
                <w:rFonts w:ascii="Times New Roman" w:hAnsi="Times New Roman" w:cs="Times New Roman"/>
                <w:sz w:val="22"/>
              </w:rPr>
              <w:t>Direct Delivery/Acre Foot (AF)</w:t>
            </w:r>
          </w:p>
        </w:tc>
        <w:tc>
          <w:tcPr>
            <w:tcW w:w="1260" w:type="dxa"/>
            <w:vAlign w:val="center"/>
          </w:tcPr>
          <w:p w14:paraId="78BC7710" w14:textId="77777777" w:rsidR="00A6453A" w:rsidRPr="00A53B15" w:rsidRDefault="00A6453A" w:rsidP="00A025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A53B15">
              <w:rPr>
                <w:rFonts w:ascii="Times New Roman" w:hAnsi="Times New Roman" w:cs="Times New Roman"/>
                <w:sz w:val="22"/>
              </w:rPr>
              <w:t>$350</w:t>
            </w:r>
          </w:p>
        </w:tc>
        <w:tc>
          <w:tcPr>
            <w:tcW w:w="1260" w:type="dxa"/>
            <w:vAlign w:val="center"/>
          </w:tcPr>
          <w:p w14:paraId="713095EC" w14:textId="77777777" w:rsidR="00A6453A" w:rsidRPr="00A53B15" w:rsidRDefault="00A6453A" w:rsidP="00A025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A53B15">
              <w:rPr>
                <w:rFonts w:ascii="Times New Roman" w:hAnsi="Times New Roman" w:cs="Times New Roman"/>
                <w:sz w:val="22"/>
              </w:rPr>
              <w:t>$410</w:t>
            </w:r>
          </w:p>
        </w:tc>
        <w:tc>
          <w:tcPr>
            <w:tcW w:w="1260" w:type="dxa"/>
            <w:vAlign w:val="center"/>
          </w:tcPr>
          <w:p w14:paraId="6FF47B56" w14:textId="77777777" w:rsidR="00A6453A" w:rsidRPr="00A53B15" w:rsidRDefault="00A6453A" w:rsidP="00A025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A53B15">
              <w:rPr>
                <w:rFonts w:ascii="Times New Roman" w:hAnsi="Times New Roman" w:cs="Times New Roman"/>
                <w:sz w:val="22"/>
              </w:rPr>
              <w:t>$470</w:t>
            </w:r>
          </w:p>
        </w:tc>
        <w:tc>
          <w:tcPr>
            <w:tcW w:w="1260" w:type="dxa"/>
            <w:vAlign w:val="center"/>
          </w:tcPr>
          <w:p w14:paraId="112C9525" w14:textId="77777777" w:rsidR="00A6453A" w:rsidRPr="00A53B15" w:rsidRDefault="00A6453A" w:rsidP="00A025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A53B15">
              <w:rPr>
                <w:rFonts w:ascii="Times New Roman" w:hAnsi="Times New Roman" w:cs="Times New Roman"/>
                <w:sz w:val="22"/>
              </w:rPr>
              <w:t>$480</w:t>
            </w:r>
          </w:p>
        </w:tc>
        <w:tc>
          <w:tcPr>
            <w:tcW w:w="1165" w:type="dxa"/>
            <w:vAlign w:val="center"/>
          </w:tcPr>
          <w:p w14:paraId="76626C81" w14:textId="77777777" w:rsidR="00A6453A" w:rsidRPr="00A53B15" w:rsidRDefault="00A6453A" w:rsidP="00A025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A53B15">
              <w:rPr>
                <w:rFonts w:ascii="Times New Roman" w:hAnsi="Times New Roman" w:cs="Times New Roman"/>
                <w:sz w:val="22"/>
              </w:rPr>
              <w:t>$490</w:t>
            </w:r>
          </w:p>
        </w:tc>
      </w:tr>
      <w:tr w:rsidR="00A6453A" w:rsidRPr="00A53B15" w14:paraId="30EC5C4D" w14:textId="77777777" w:rsidTr="00A02530">
        <w:tc>
          <w:tcPr>
            <w:cnfStyle w:val="001000000000" w:firstRow="0" w:lastRow="0" w:firstColumn="1" w:lastColumn="0" w:oddVBand="0" w:evenVBand="0" w:oddHBand="0" w:evenHBand="0" w:firstRowFirstColumn="0" w:firstRowLastColumn="0" w:lastRowFirstColumn="0" w:lastRowLastColumn="0"/>
            <w:tcW w:w="3145" w:type="dxa"/>
          </w:tcPr>
          <w:p w14:paraId="6F6CD92A" w14:textId="77777777" w:rsidR="00A6453A" w:rsidRPr="00A53B15" w:rsidRDefault="00A6453A" w:rsidP="00A02530">
            <w:pPr>
              <w:rPr>
                <w:rFonts w:ascii="Times New Roman" w:hAnsi="Times New Roman" w:cs="Times New Roman"/>
                <w:sz w:val="22"/>
              </w:rPr>
            </w:pPr>
            <w:r w:rsidRPr="00A53B15">
              <w:rPr>
                <w:rFonts w:ascii="Times New Roman" w:hAnsi="Times New Roman" w:cs="Times New Roman"/>
                <w:sz w:val="22"/>
              </w:rPr>
              <w:t>Groundwater Recharge/Acre Foot (AF)</w:t>
            </w:r>
          </w:p>
        </w:tc>
        <w:tc>
          <w:tcPr>
            <w:tcW w:w="1260" w:type="dxa"/>
            <w:vAlign w:val="center"/>
          </w:tcPr>
          <w:p w14:paraId="3DD414FF" w14:textId="77777777" w:rsidR="00A6453A" w:rsidRPr="00A53B15" w:rsidRDefault="00A6453A" w:rsidP="00A025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A53B15">
              <w:rPr>
                <w:rFonts w:ascii="Times New Roman" w:hAnsi="Times New Roman" w:cs="Times New Roman"/>
                <w:sz w:val="22"/>
              </w:rPr>
              <w:t>$410</w:t>
            </w:r>
          </w:p>
        </w:tc>
        <w:tc>
          <w:tcPr>
            <w:tcW w:w="1260" w:type="dxa"/>
            <w:vAlign w:val="center"/>
          </w:tcPr>
          <w:p w14:paraId="0C36547B" w14:textId="77777777" w:rsidR="00A6453A" w:rsidRPr="00A53B15" w:rsidRDefault="00A6453A" w:rsidP="00A025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A53B15">
              <w:rPr>
                <w:rFonts w:ascii="Times New Roman" w:hAnsi="Times New Roman" w:cs="Times New Roman"/>
                <w:sz w:val="22"/>
              </w:rPr>
              <w:t>$470</w:t>
            </w:r>
          </w:p>
        </w:tc>
        <w:tc>
          <w:tcPr>
            <w:tcW w:w="1260" w:type="dxa"/>
            <w:vAlign w:val="center"/>
          </w:tcPr>
          <w:p w14:paraId="1B539DFF" w14:textId="77777777" w:rsidR="00A6453A" w:rsidRPr="00A53B15" w:rsidRDefault="00A6453A" w:rsidP="00A025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A53B15">
              <w:rPr>
                <w:rFonts w:ascii="Times New Roman" w:hAnsi="Times New Roman" w:cs="Times New Roman"/>
                <w:sz w:val="22"/>
              </w:rPr>
              <w:t>$530</w:t>
            </w:r>
          </w:p>
        </w:tc>
        <w:tc>
          <w:tcPr>
            <w:tcW w:w="1260" w:type="dxa"/>
            <w:vAlign w:val="center"/>
          </w:tcPr>
          <w:p w14:paraId="71E0F2A9" w14:textId="77777777" w:rsidR="00A6453A" w:rsidRPr="00A53B15" w:rsidRDefault="00A6453A" w:rsidP="00A025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A53B15">
              <w:rPr>
                <w:rFonts w:ascii="Times New Roman" w:hAnsi="Times New Roman" w:cs="Times New Roman"/>
                <w:sz w:val="22"/>
              </w:rPr>
              <w:t>$540</w:t>
            </w:r>
          </w:p>
        </w:tc>
        <w:tc>
          <w:tcPr>
            <w:tcW w:w="1165" w:type="dxa"/>
            <w:vAlign w:val="center"/>
          </w:tcPr>
          <w:p w14:paraId="5DCA31FB" w14:textId="77777777" w:rsidR="00A6453A" w:rsidRPr="00A53B15" w:rsidRDefault="00A6453A" w:rsidP="00A025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A53B15">
              <w:rPr>
                <w:rFonts w:ascii="Times New Roman" w:hAnsi="Times New Roman" w:cs="Times New Roman"/>
                <w:sz w:val="22"/>
              </w:rPr>
              <w:t>$550</w:t>
            </w:r>
          </w:p>
        </w:tc>
      </w:tr>
      <w:tr w:rsidR="00A6453A" w:rsidRPr="00A53B15" w14:paraId="45C74E81" w14:textId="77777777" w:rsidTr="00A025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69DC1F2" w14:textId="77777777" w:rsidR="00A6453A" w:rsidRPr="00A53B15" w:rsidRDefault="00A6453A" w:rsidP="00A02530">
            <w:pPr>
              <w:rPr>
                <w:rFonts w:ascii="Times New Roman" w:hAnsi="Times New Roman" w:cs="Times New Roman"/>
                <w:sz w:val="22"/>
              </w:rPr>
            </w:pPr>
            <w:r w:rsidRPr="00A53B15">
              <w:rPr>
                <w:rFonts w:ascii="Times New Roman" w:hAnsi="Times New Roman" w:cs="Times New Roman"/>
                <w:sz w:val="22"/>
              </w:rPr>
              <w:t>Effective Date</w:t>
            </w:r>
          </w:p>
        </w:tc>
        <w:tc>
          <w:tcPr>
            <w:tcW w:w="1260" w:type="dxa"/>
            <w:vAlign w:val="center"/>
          </w:tcPr>
          <w:p w14:paraId="1D266829" w14:textId="77777777" w:rsidR="00A6453A" w:rsidRPr="00A53B15" w:rsidRDefault="00A6453A" w:rsidP="00A025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A53B15">
              <w:rPr>
                <w:rFonts w:ascii="Times New Roman" w:hAnsi="Times New Roman" w:cs="Times New Roman"/>
                <w:sz w:val="22"/>
              </w:rPr>
              <w:t>10/01/15</w:t>
            </w:r>
          </w:p>
        </w:tc>
        <w:tc>
          <w:tcPr>
            <w:tcW w:w="1260" w:type="dxa"/>
            <w:vAlign w:val="center"/>
          </w:tcPr>
          <w:p w14:paraId="6576C17D" w14:textId="77777777" w:rsidR="00A6453A" w:rsidRPr="00A53B15" w:rsidRDefault="00A6453A" w:rsidP="00A025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A53B15">
              <w:rPr>
                <w:rFonts w:ascii="Times New Roman" w:hAnsi="Times New Roman" w:cs="Times New Roman"/>
                <w:sz w:val="22"/>
              </w:rPr>
              <w:t>7/01/16</w:t>
            </w:r>
          </w:p>
        </w:tc>
        <w:tc>
          <w:tcPr>
            <w:tcW w:w="1260" w:type="dxa"/>
            <w:vAlign w:val="center"/>
          </w:tcPr>
          <w:p w14:paraId="17E9B506" w14:textId="77777777" w:rsidR="00A6453A" w:rsidRPr="00A53B15" w:rsidRDefault="00A6453A" w:rsidP="00A025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A53B15">
              <w:rPr>
                <w:rFonts w:ascii="Times New Roman" w:hAnsi="Times New Roman" w:cs="Times New Roman"/>
                <w:sz w:val="22"/>
              </w:rPr>
              <w:t>7/01/17</w:t>
            </w:r>
          </w:p>
        </w:tc>
        <w:tc>
          <w:tcPr>
            <w:tcW w:w="1260" w:type="dxa"/>
            <w:vAlign w:val="center"/>
          </w:tcPr>
          <w:p w14:paraId="7BD26E22" w14:textId="77777777" w:rsidR="00A6453A" w:rsidRPr="00A53B15" w:rsidRDefault="00A6453A" w:rsidP="00A025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A53B15">
              <w:rPr>
                <w:rFonts w:ascii="Times New Roman" w:hAnsi="Times New Roman" w:cs="Times New Roman"/>
                <w:sz w:val="22"/>
              </w:rPr>
              <w:t>7/01/18</w:t>
            </w:r>
          </w:p>
        </w:tc>
        <w:tc>
          <w:tcPr>
            <w:tcW w:w="1165" w:type="dxa"/>
            <w:vAlign w:val="center"/>
          </w:tcPr>
          <w:p w14:paraId="52D80F14" w14:textId="77777777" w:rsidR="00A6453A" w:rsidRPr="00A53B15" w:rsidRDefault="00A6453A" w:rsidP="00A025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A53B15">
              <w:rPr>
                <w:rFonts w:ascii="Times New Roman" w:hAnsi="Times New Roman" w:cs="Times New Roman"/>
                <w:sz w:val="22"/>
              </w:rPr>
              <w:t>7/01/19</w:t>
            </w:r>
          </w:p>
        </w:tc>
      </w:tr>
      <w:tr w:rsidR="00A6453A" w:rsidRPr="00A53B15" w14:paraId="563B5E3C" w14:textId="77777777" w:rsidTr="00A02530">
        <w:tc>
          <w:tcPr>
            <w:cnfStyle w:val="001000000000" w:firstRow="0" w:lastRow="0" w:firstColumn="1" w:lastColumn="0" w:oddVBand="0" w:evenVBand="0" w:oddHBand="0" w:evenHBand="0" w:firstRowFirstColumn="0" w:firstRowLastColumn="0" w:lastRowFirstColumn="0" w:lastRowLastColumn="0"/>
            <w:tcW w:w="3145" w:type="dxa"/>
          </w:tcPr>
          <w:p w14:paraId="0A1B7558" w14:textId="77777777" w:rsidR="00A6453A" w:rsidRPr="00A53B15" w:rsidRDefault="00A6453A" w:rsidP="00A02530">
            <w:pPr>
              <w:rPr>
                <w:rFonts w:ascii="Times New Roman" w:hAnsi="Times New Roman" w:cs="Times New Roman"/>
                <w:sz w:val="22"/>
              </w:rPr>
            </w:pPr>
            <w:r w:rsidRPr="00A53B15">
              <w:rPr>
                <w:rFonts w:ascii="Times New Roman" w:hAnsi="Times New Roman" w:cs="Times New Roman"/>
                <w:sz w:val="22"/>
              </w:rPr>
              <w:t>AF Deliveries</w:t>
            </w:r>
          </w:p>
        </w:tc>
        <w:tc>
          <w:tcPr>
            <w:tcW w:w="1260" w:type="dxa"/>
            <w:vAlign w:val="center"/>
          </w:tcPr>
          <w:p w14:paraId="5A717993" w14:textId="77777777" w:rsidR="00A6453A" w:rsidRPr="00A53B15" w:rsidRDefault="00A6453A" w:rsidP="00A025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A53B15">
              <w:rPr>
                <w:rFonts w:ascii="Times New Roman" w:hAnsi="Times New Roman" w:cs="Times New Roman"/>
                <w:sz w:val="22"/>
              </w:rPr>
              <w:t>32,331</w:t>
            </w:r>
          </w:p>
        </w:tc>
        <w:tc>
          <w:tcPr>
            <w:tcW w:w="1260" w:type="dxa"/>
            <w:vAlign w:val="center"/>
          </w:tcPr>
          <w:p w14:paraId="4E51D69E" w14:textId="77777777" w:rsidR="00A6453A" w:rsidRPr="00A53B15" w:rsidRDefault="00A6453A" w:rsidP="00A025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A53B15">
              <w:rPr>
                <w:rFonts w:ascii="Times New Roman" w:hAnsi="Times New Roman" w:cs="Times New Roman"/>
                <w:sz w:val="22"/>
              </w:rPr>
              <w:t>33,146</w:t>
            </w:r>
          </w:p>
        </w:tc>
        <w:tc>
          <w:tcPr>
            <w:tcW w:w="1260" w:type="dxa"/>
            <w:vAlign w:val="center"/>
          </w:tcPr>
          <w:p w14:paraId="34A3398D" w14:textId="77777777" w:rsidR="00A6453A" w:rsidRPr="00A53B15" w:rsidRDefault="00A6453A" w:rsidP="00A025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A53B15">
              <w:rPr>
                <w:rFonts w:ascii="Times New Roman" w:hAnsi="Times New Roman" w:cs="Times New Roman"/>
                <w:sz w:val="22"/>
              </w:rPr>
              <w:t>34,335</w:t>
            </w:r>
          </w:p>
        </w:tc>
        <w:tc>
          <w:tcPr>
            <w:tcW w:w="1260" w:type="dxa"/>
            <w:vAlign w:val="center"/>
          </w:tcPr>
          <w:p w14:paraId="74E39B01" w14:textId="77777777" w:rsidR="00A6453A" w:rsidRPr="00A53B15" w:rsidRDefault="00A6453A" w:rsidP="00A025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A53B15">
              <w:rPr>
                <w:rFonts w:ascii="Times New Roman" w:hAnsi="Times New Roman" w:cs="Times New Roman"/>
                <w:sz w:val="22"/>
              </w:rPr>
              <w:t>32,000</w:t>
            </w:r>
          </w:p>
        </w:tc>
        <w:tc>
          <w:tcPr>
            <w:tcW w:w="1165" w:type="dxa"/>
            <w:vAlign w:val="center"/>
          </w:tcPr>
          <w:p w14:paraId="5ABE6BD3" w14:textId="77777777" w:rsidR="00A6453A" w:rsidRPr="00A53B15" w:rsidRDefault="00A6453A" w:rsidP="00A025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A53B15">
              <w:rPr>
                <w:rFonts w:ascii="Times New Roman" w:hAnsi="Times New Roman" w:cs="Times New Roman"/>
                <w:sz w:val="22"/>
              </w:rPr>
              <w:t>35,800</w:t>
            </w:r>
          </w:p>
        </w:tc>
      </w:tr>
    </w:tbl>
    <w:p w14:paraId="3E9B02CE" w14:textId="77777777" w:rsidR="00A6453A" w:rsidRPr="004B5425" w:rsidRDefault="00A6453A" w:rsidP="00A6453A">
      <w:pPr>
        <w:spacing w:line="120" w:lineRule="auto"/>
        <w:jc w:val="center"/>
        <w:rPr>
          <w:b/>
          <w:bCs/>
          <w:szCs w:val="24"/>
        </w:rPr>
      </w:pPr>
    </w:p>
    <w:p w14:paraId="5BC77EF6" w14:textId="7D79CD43" w:rsidR="00A6453A" w:rsidRPr="004B5425" w:rsidRDefault="00A6453A" w:rsidP="00A6453A">
      <w:pPr>
        <w:spacing w:line="360" w:lineRule="auto"/>
        <w:jc w:val="center"/>
        <w:rPr>
          <w:b/>
          <w:bCs/>
          <w:szCs w:val="24"/>
        </w:rPr>
      </w:pPr>
      <w:r w:rsidRPr="004B5425">
        <w:rPr>
          <w:b/>
          <w:bCs/>
          <w:szCs w:val="24"/>
        </w:rPr>
        <w:t>Water Connection Fees</w:t>
      </w:r>
    </w:p>
    <w:tbl>
      <w:tblPr>
        <w:tblStyle w:val="GridTable4-Accent1"/>
        <w:tblW w:w="0" w:type="auto"/>
        <w:tblLook w:val="04A0" w:firstRow="1" w:lastRow="0" w:firstColumn="1" w:lastColumn="0" w:noHBand="0" w:noVBand="1"/>
      </w:tblPr>
      <w:tblGrid>
        <w:gridCol w:w="3145"/>
        <w:gridCol w:w="1260"/>
        <w:gridCol w:w="1260"/>
        <w:gridCol w:w="1260"/>
        <w:gridCol w:w="1260"/>
        <w:gridCol w:w="1165"/>
      </w:tblGrid>
      <w:tr w:rsidR="00A6453A" w:rsidRPr="00A53B15" w14:paraId="5E346943" w14:textId="77777777" w:rsidTr="00A025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0F5E9350" w14:textId="77777777" w:rsidR="00A6453A" w:rsidRPr="00A53B15" w:rsidRDefault="00A6453A" w:rsidP="00A02530">
            <w:pPr>
              <w:jc w:val="center"/>
              <w:rPr>
                <w:rFonts w:ascii="Times New Roman" w:hAnsi="Times New Roman" w:cs="Times New Roman"/>
                <w:sz w:val="22"/>
              </w:rPr>
            </w:pPr>
            <w:bookmarkStart w:id="0" w:name="_Hlk8301016"/>
            <w:r w:rsidRPr="00A53B15">
              <w:rPr>
                <w:rFonts w:ascii="Times New Roman" w:hAnsi="Times New Roman" w:cs="Times New Roman"/>
                <w:sz w:val="22"/>
              </w:rPr>
              <w:t>Rate Description</w:t>
            </w:r>
          </w:p>
        </w:tc>
        <w:tc>
          <w:tcPr>
            <w:tcW w:w="1260" w:type="dxa"/>
          </w:tcPr>
          <w:p w14:paraId="3A4625C6" w14:textId="77777777" w:rsidR="00A6453A" w:rsidRPr="00A53B15" w:rsidRDefault="00A6453A" w:rsidP="00A0253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rPr>
            </w:pPr>
            <w:r w:rsidRPr="00A53B15">
              <w:rPr>
                <w:rFonts w:ascii="Times New Roman" w:hAnsi="Times New Roman" w:cs="Times New Roman"/>
                <w:sz w:val="22"/>
              </w:rPr>
              <w:t>FY 2015/16</w:t>
            </w:r>
          </w:p>
        </w:tc>
        <w:tc>
          <w:tcPr>
            <w:tcW w:w="1260" w:type="dxa"/>
          </w:tcPr>
          <w:p w14:paraId="3024023C" w14:textId="77777777" w:rsidR="00A6453A" w:rsidRPr="00A53B15" w:rsidRDefault="00A6453A" w:rsidP="00A0253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rPr>
            </w:pPr>
            <w:r w:rsidRPr="00A53B15">
              <w:rPr>
                <w:rFonts w:ascii="Times New Roman" w:hAnsi="Times New Roman" w:cs="Times New Roman"/>
                <w:sz w:val="22"/>
              </w:rPr>
              <w:t>FY 2016/17</w:t>
            </w:r>
          </w:p>
        </w:tc>
        <w:tc>
          <w:tcPr>
            <w:tcW w:w="1260" w:type="dxa"/>
          </w:tcPr>
          <w:p w14:paraId="70768173" w14:textId="77777777" w:rsidR="00A6453A" w:rsidRPr="00A53B15" w:rsidRDefault="00A6453A" w:rsidP="00A0253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rPr>
            </w:pPr>
            <w:r w:rsidRPr="00A53B15">
              <w:rPr>
                <w:rFonts w:ascii="Times New Roman" w:hAnsi="Times New Roman" w:cs="Times New Roman"/>
                <w:sz w:val="22"/>
              </w:rPr>
              <w:t>FY 2017/18</w:t>
            </w:r>
          </w:p>
        </w:tc>
        <w:tc>
          <w:tcPr>
            <w:tcW w:w="1260" w:type="dxa"/>
          </w:tcPr>
          <w:p w14:paraId="0D5107D3" w14:textId="77777777" w:rsidR="00A6453A" w:rsidRDefault="00A6453A" w:rsidP="00A0253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rPr>
            </w:pPr>
            <w:r w:rsidRPr="00A53B15">
              <w:rPr>
                <w:rFonts w:ascii="Times New Roman" w:hAnsi="Times New Roman" w:cs="Times New Roman"/>
                <w:sz w:val="22"/>
              </w:rPr>
              <w:t>FY 2018/19</w:t>
            </w:r>
          </w:p>
          <w:p w14:paraId="78A5E49E" w14:textId="77777777" w:rsidR="00A6453A" w:rsidRPr="00A53B15" w:rsidRDefault="00A6453A" w:rsidP="00A0253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Projected</w:t>
            </w:r>
          </w:p>
        </w:tc>
        <w:tc>
          <w:tcPr>
            <w:tcW w:w="1165" w:type="dxa"/>
          </w:tcPr>
          <w:p w14:paraId="0F407FBB" w14:textId="77777777" w:rsidR="00A6453A" w:rsidRDefault="00A6453A" w:rsidP="00A0253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rPr>
            </w:pPr>
            <w:r w:rsidRPr="00A53B15">
              <w:rPr>
                <w:rFonts w:ascii="Times New Roman" w:hAnsi="Times New Roman" w:cs="Times New Roman"/>
                <w:sz w:val="22"/>
              </w:rPr>
              <w:t>FY 2019/20</w:t>
            </w:r>
          </w:p>
          <w:p w14:paraId="3870E600" w14:textId="77777777" w:rsidR="00A6453A" w:rsidRPr="00A53B15" w:rsidRDefault="00A6453A" w:rsidP="00A0253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Projected</w:t>
            </w:r>
          </w:p>
        </w:tc>
      </w:tr>
      <w:tr w:rsidR="00A6453A" w:rsidRPr="00A53B15" w14:paraId="564188CC" w14:textId="77777777" w:rsidTr="00A025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BB71253" w14:textId="77777777" w:rsidR="00A6453A" w:rsidRPr="00A53B15" w:rsidRDefault="00A6453A" w:rsidP="00A02530">
            <w:pPr>
              <w:rPr>
                <w:rFonts w:ascii="Times New Roman" w:hAnsi="Times New Roman" w:cs="Times New Roman"/>
                <w:sz w:val="22"/>
              </w:rPr>
            </w:pPr>
            <w:r w:rsidRPr="00A53B15">
              <w:rPr>
                <w:rFonts w:ascii="Times New Roman" w:hAnsi="Times New Roman" w:cs="Times New Roman"/>
                <w:sz w:val="22"/>
              </w:rPr>
              <w:t>Water Connection Fee</w:t>
            </w:r>
          </w:p>
          <w:p w14:paraId="5946AB9B" w14:textId="77777777" w:rsidR="00A6453A" w:rsidRPr="00A53B15" w:rsidRDefault="00A6453A" w:rsidP="00A02530">
            <w:pPr>
              <w:rPr>
                <w:rFonts w:ascii="Times New Roman" w:hAnsi="Times New Roman" w:cs="Times New Roman"/>
                <w:sz w:val="22"/>
              </w:rPr>
            </w:pPr>
            <w:r w:rsidRPr="00A53B15">
              <w:rPr>
                <w:rFonts w:ascii="Times New Roman" w:hAnsi="Times New Roman" w:cs="Times New Roman"/>
                <w:sz w:val="22"/>
              </w:rPr>
              <w:t>(for 5/8” and 3/4” meter size)</w:t>
            </w:r>
          </w:p>
        </w:tc>
        <w:tc>
          <w:tcPr>
            <w:tcW w:w="1260" w:type="dxa"/>
            <w:vAlign w:val="center"/>
          </w:tcPr>
          <w:p w14:paraId="07322EA8" w14:textId="77777777" w:rsidR="00A6453A" w:rsidRPr="00A53B15" w:rsidRDefault="00A6453A" w:rsidP="00A025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A53B15">
              <w:rPr>
                <w:rFonts w:ascii="Times New Roman" w:hAnsi="Times New Roman" w:cs="Times New Roman"/>
                <w:sz w:val="22"/>
              </w:rPr>
              <w:t>$693</w:t>
            </w:r>
          </w:p>
        </w:tc>
        <w:tc>
          <w:tcPr>
            <w:tcW w:w="1260" w:type="dxa"/>
            <w:vAlign w:val="center"/>
          </w:tcPr>
          <w:p w14:paraId="2B34923D" w14:textId="77777777" w:rsidR="00A6453A" w:rsidRPr="00A53B15" w:rsidRDefault="00A6453A" w:rsidP="00A025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A53B15">
              <w:rPr>
                <w:rFonts w:ascii="Times New Roman" w:hAnsi="Times New Roman" w:cs="Times New Roman"/>
                <w:sz w:val="22"/>
              </w:rPr>
              <w:t>$1,455</w:t>
            </w:r>
          </w:p>
        </w:tc>
        <w:tc>
          <w:tcPr>
            <w:tcW w:w="1260" w:type="dxa"/>
            <w:vAlign w:val="center"/>
          </w:tcPr>
          <w:p w14:paraId="1ADAF246" w14:textId="77777777" w:rsidR="00A6453A" w:rsidRPr="00A53B15" w:rsidRDefault="00A6453A" w:rsidP="00A025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A53B15">
              <w:rPr>
                <w:rFonts w:ascii="Times New Roman" w:hAnsi="Times New Roman" w:cs="Times New Roman"/>
                <w:sz w:val="22"/>
              </w:rPr>
              <w:t>$1,527</w:t>
            </w:r>
          </w:p>
        </w:tc>
        <w:tc>
          <w:tcPr>
            <w:tcW w:w="1260" w:type="dxa"/>
            <w:vAlign w:val="center"/>
          </w:tcPr>
          <w:p w14:paraId="5C8D1F2D" w14:textId="77777777" w:rsidR="00A6453A" w:rsidRPr="00A53B15" w:rsidRDefault="00A6453A" w:rsidP="00A025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A53B15">
              <w:rPr>
                <w:rFonts w:ascii="Times New Roman" w:hAnsi="Times New Roman" w:cs="Times New Roman"/>
                <w:sz w:val="22"/>
              </w:rPr>
              <w:t>$1,604</w:t>
            </w:r>
          </w:p>
        </w:tc>
        <w:tc>
          <w:tcPr>
            <w:tcW w:w="1165" w:type="dxa"/>
            <w:vAlign w:val="center"/>
          </w:tcPr>
          <w:p w14:paraId="2CF1E095" w14:textId="77777777" w:rsidR="00A6453A" w:rsidRPr="00A53B15" w:rsidRDefault="00A6453A" w:rsidP="00A025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A53B15">
              <w:rPr>
                <w:rFonts w:ascii="Times New Roman" w:hAnsi="Times New Roman" w:cs="Times New Roman"/>
                <w:sz w:val="22"/>
              </w:rPr>
              <w:t>$1,684</w:t>
            </w:r>
          </w:p>
        </w:tc>
      </w:tr>
      <w:tr w:rsidR="00A6453A" w:rsidRPr="00A53B15" w14:paraId="55B62A10" w14:textId="77777777" w:rsidTr="00A02530">
        <w:tc>
          <w:tcPr>
            <w:cnfStyle w:val="001000000000" w:firstRow="0" w:lastRow="0" w:firstColumn="1" w:lastColumn="0" w:oddVBand="0" w:evenVBand="0" w:oddHBand="0" w:evenHBand="0" w:firstRowFirstColumn="0" w:firstRowLastColumn="0" w:lastRowFirstColumn="0" w:lastRowLastColumn="0"/>
            <w:tcW w:w="3145" w:type="dxa"/>
          </w:tcPr>
          <w:p w14:paraId="2B29DDB1" w14:textId="77777777" w:rsidR="00A6453A" w:rsidRPr="00A53B15" w:rsidRDefault="00A6453A" w:rsidP="00A02530">
            <w:pPr>
              <w:rPr>
                <w:rFonts w:ascii="Times New Roman" w:hAnsi="Times New Roman" w:cs="Times New Roman"/>
                <w:sz w:val="22"/>
              </w:rPr>
            </w:pPr>
            <w:r w:rsidRPr="00A53B15">
              <w:rPr>
                <w:rFonts w:ascii="Times New Roman" w:hAnsi="Times New Roman" w:cs="Times New Roman"/>
                <w:sz w:val="22"/>
              </w:rPr>
              <w:t>Effective Date</w:t>
            </w:r>
          </w:p>
        </w:tc>
        <w:tc>
          <w:tcPr>
            <w:tcW w:w="1260" w:type="dxa"/>
            <w:vAlign w:val="center"/>
          </w:tcPr>
          <w:p w14:paraId="002A9224" w14:textId="77777777" w:rsidR="00A6453A" w:rsidRPr="00A53B15" w:rsidRDefault="00A6453A" w:rsidP="00A025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A53B15">
              <w:rPr>
                <w:rFonts w:ascii="Times New Roman" w:hAnsi="Times New Roman" w:cs="Times New Roman"/>
                <w:sz w:val="22"/>
              </w:rPr>
              <w:t>1/01/16</w:t>
            </w:r>
          </w:p>
        </w:tc>
        <w:tc>
          <w:tcPr>
            <w:tcW w:w="1260" w:type="dxa"/>
            <w:vAlign w:val="center"/>
          </w:tcPr>
          <w:p w14:paraId="7C352373" w14:textId="77777777" w:rsidR="00A6453A" w:rsidRPr="00A53B15" w:rsidRDefault="00A6453A" w:rsidP="00A025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A53B15">
              <w:rPr>
                <w:rFonts w:ascii="Times New Roman" w:hAnsi="Times New Roman" w:cs="Times New Roman"/>
                <w:sz w:val="22"/>
              </w:rPr>
              <w:t>1/01/17</w:t>
            </w:r>
          </w:p>
        </w:tc>
        <w:tc>
          <w:tcPr>
            <w:tcW w:w="1260" w:type="dxa"/>
            <w:vAlign w:val="center"/>
          </w:tcPr>
          <w:p w14:paraId="1D9DF1B6" w14:textId="77777777" w:rsidR="00A6453A" w:rsidRPr="00A53B15" w:rsidRDefault="00A6453A" w:rsidP="00A025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A53B15">
              <w:rPr>
                <w:rFonts w:ascii="Times New Roman" w:hAnsi="Times New Roman" w:cs="Times New Roman"/>
                <w:sz w:val="22"/>
              </w:rPr>
              <w:t>7/01/17</w:t>
            </w:r>
          </w:p>
        </w:tc>
        <w:tc>
          <w:tcPr>
            <w:tcW w:w="1260" w:type="dxa"/>
            <w:vAlign w:val="center"/>
          </w:tcPr>
          <w:p w14:paraId="4F4E8971" w14:textId="77777777" w:rsidR="00A6453A" w:rsidRPr="00A53B15" w:rsidRDefault="00A6453A" w:rsidP="00A025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A53B15">
              <w:rPr>
                <w:rFonts w:ascii="Times New Roman" w:hAnsi="Times New Roman" w:cs="Times New Roman"/>
                <w:sz w:val="22"/>
              </w:rPr>
              <w:t>7/01/18</w:t>
            </w:r>
          </w:p>
        </w:tc>
        <w:tc>
          <w:tcPr>
            <w:tcW w:w="1165" w:type="dxa"/>
            <w:vAlign w:val="center"/>
          </w:tcPr>
          <w:p w14:paraId="12FB81FB" w14:textId="77777777" w:rsidR="00A6453A" w:rsidRPr="00A53B15" w:rsidRDefault="00A6453A" w:rsidP="00A025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A53B15">
              <w:rPr>
                <w:rFonts w:ascii="Times New Roman" w:hAnsi="Times New Roman" w:cs="Times New Roman"/>
                <w:sz w:val="22"/>
              </w:rPr>
              <w:t>7/01/19</w:t>
            </w:r>
          </w:p>
        </w:tc>
      </w:tr>
      <w:tr w:rsidR="00A6453A" w:rsidRPr="00A53B15" w14:paraId="6C88A6F5" w14:textId="77777777" w:rsidTr="00A025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48788446" w14:textId="77777777" w:rsidR="00A6453A" w:rsidRPr="00A53B15" w:rsidRDefault="00A6453A" w:rsidP="00A02530">
            <w:pPr>
              <w:rPr>
                <w:rFonts w:ascii="Times New Roman" w:hAnsi="Times New Roman" w:cs="Times New Roman"/>
                <w:sz w:val="22"/>
              </w:rPr>
            </w:pPr>
            <w:r w:rsidRPr="00A53B15">
              <w:rPr>
                <w:rFonts w:ascii="Times New Roman" w:hAnsi="Times New Roman" w:cs="Times New Roman"/>
                <w:sz w:val="22"/>
              </w:rPr>
              <w:t>Meter Equivalent Units (MEUs)</w:t>
            </w:r>
          </w:p>
        </w:tc>
        <w:tc>
          <w:tcPr>
            <w:tcW w:w="1260" w:type="dxa"/>
            <w:vAlign w:val="center"/>
          </w:tcPr>
          <w:p w14:paraId="527750D0" w14:textId="77777777" w:rsidR="00A6453A" w:rsidRPr="00A53B15" w:rsidRDefault="00A6453A" w:rsidP="00A025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A53B15">
              <w:rPr>
                <w:rFonts w:ascii="Times New Roman" w:hAnsi="Times New Roman" w:cs="Times New Roman"/>
                <w:sz w:val="22"/>
              </w:rPr>
              <w:t>1,346</w:t>
            </w:r>
          </w:p>
        </w:tc>
        <w:tc>
          <w:tcPr>
            <w:tcW w:w="1260" w:type="dxa"/>
            <w:vAlign w:val="center"/>
          </w:tcPr>
          <w:p w14:paraId="46641E2B" w14:textId="77777777" w:rsidR="00A6453A" w:rsidRPr="00A53B15" w:rsidRDefault="00A6453A" w:rsidP="00A025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A53B15">
              <w:rPr>
                <w:rFonts w:ascii="Times New Roman" w:hAnsi="Times New Roman" w:cs="Times New Roman"/>
                <w:sz w:val="22"/>
              </w:rPr>
              <w:t>4,984</w:t>
            </w:r>
          </w:p>
        </w:tc>
        <w:tc>
          <w:tcPr>
            <w:tcW w:w="1260" w:type="dxa"/>
            <w:vAlign w:val="center"/>
          </w:tcPr>
          <w:p w14:paraId="09E632F6" w14:textId="77777777" w:rsidR="00A6453A" w:rsidRPr="00A53B15" w:rsidRDefault="00A6453A" w:rsidP="00A025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A53B15">
              <w:rPr>
                <w:rFonts w:ascii="Times New Roman" w:hAnsi="Times New Roman" w:cs="Times New Roman"/>
                <w:sz w:val="22"/>
              </w:rPr>
              <w:t>5,455</w:t>
            </w:r>
          </w:p>
        </w:tc>
        <w:tc>
          <w:tcPr>
            <w:tcW w:w="1260" w:type="dxa"/>
            <w:vAlign w:val="center"/>
          </w:tcPr>
          <w:p w14:paraId="5F3DCAF3" w14:textId="77777777" w:rsidR="00A6453A" w:rsidRPr="00A53B15" w:rsidRDefault="00A6453A" w:rsidP="00A025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A53B15">
              <w:rPr>
                <w:rFonts w:ascii="Times New Roman" w:hAnsi="Times New Roman" w:cs="Times New Roman"/>
                <w:sz w:val="22"/>
              </w:rPr>
              <w:t>4,800</w:t>
            </w:r>
          </w:p>
        </w:tc>
        <w:tc>
          <w:tcPr>
            <w:tcW w:w="1165" w:type="dxa"/>
            <w:vAlign w:val="center"/>
          </w:tcPr>
          <w:p w14:paraId="609FC655" w14:textId="77777777" w:rsidR="00A6453A" w:rsidRPr="00A53B15" w:rsidRDefault="00A6453A" w:rsidP="00A025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A53B15">
              <w:rPr>
                <w:rFonts w:ascii="Times New Roman" w:hAnsi="Times New Roman" w:cs="Times New Roman"/>
                <w:sz w:val="22"/>
              </w:rPr>
              <w:t>4,700</w:t>
            </w:r>
          </w:p>
        </w:tc>
      </w:tr>
      <w:bookmarkEnd w:id="0"/>
    </w:tbl>
    <w:p w14:paraId="191560FF" w14:textId="77777777" w:rsidR="00FD166D" w:rsidRDefault="00FD166D" w:rsidP="00FD166D">
      <w:pPr>
        <w:spacing w:line="360" w:lineRule="auto"/>
        <w:jc w:val="center"/>
        <w:rPr>
          <w:b/>
          <w:bCs/>
          <w:szCs w:val="24"/>
        </w:rPr>
      </w:pPr>
    </w:p>
    <w:p w14:paraId="07FFAC1F" w14:textId="77777777" w:rsidR="0081568E" w:rsidRDefault="0081568E" w:rsidP="00FD166D">
      <w:pPr>
        <w:spacing w:line="360" w:lineRule="auto"/>
        <w:jc w:val="center"/>
        <w:rPr>
          <w:b/>
          <w:bCs/>
          <w:szCs w:val="24"/>
        </w:rPr>
      </w:pPr>
    </w:p>
    <w:p w14:paraId="612369A0" w14:textId="77777777" w:rsidR="0081568E" w:rsidRDefault="0081568E" w:rsidP="00FD166D">
      <w:pPr>
        <w:spacing w:line="360" w:lineRule="auto"/>
        <w:jc w:val="center"/>
        <w:rPr>
          <w:b/>
          <w:bCs/>
          <w:szCs w:val="24"/>
        </w:rPr>
      </w:pPr>
    </w:p>
    <w:p w14:paraId="2F92E944" w14:textId="77777777" w:rsidR="0081568E" w:rsidRDefault="0081568E" w:rsidP="00FD166D">
      <w:pPr>
        <w:spacing w:line="360" w:lineRule="auto"/>
        <w:jc w:val="center"/>
        <w:rPr>
          <w:b/>
          <w:bCs/>
          <w:szCs w:val="24"/>
        </w:rPr>
      </w:pPr>
    </w:p>
    <w:p w14:paraId="02C516EB" w14:textId="77777777" w:rsidR="0081568E" w:rsidRDefault="0081568E" w:rsidP="00FD166D">
      <w:pPr>
        <w:spacing w:line="360" w:lineRule="auto"/>
        <w:jc w:val="center"/>
        <w:rPr>
          <w:b/>
          <w:bCs/>
          <w:szCs w:val="24"/>
        </w:rPr>
      </w:pPr>
    </w:p>
    <w:p w14:paraId="2E8D32AF" w14:textId="77777777" w:rsidR="0081568E" w:rsidRDefault="0081568E" w:rsidP="00FD166D">
      <w:pPr>
        <w:spacing w:line="360" w:lineRule="auto"/>
        <w:jc w:val="center"/>
        <w:rPr>
          <w:b/>
          <w:bCs/>
          <w:szCs w:val="24"/>
        </w:rPr>
      </w:pPr>
    </w:p>
    <w:p w14:paraId="5A23E881" w14:textId="77777777" w:rsidR="0081568E" w:rsidRDefault="0081568E" w:rsidP="00FD166D">
      <w:pPr>
        <w:spacing w:line="360" w:lineRule="auto"/>
        <w:jc w:val="center"/>
        <w:rPr>
          <w:b/>
          <w:bCs/>
          <w:szCs w:val="24"/>
        </w:rPr>
      </w:pPr>
    </w:p>
    <w:p w14:paraId="1D032A9E" w14:textId="77777777" w:rsidR="0081568E" w:rsidRDefault="0081568E" w:rsidP="00FD166D">
      <w:pPr>
        <w:spacing w:line="360" w:lineRule="auto"/>
        <w:jc w:val="center"/>
        <w:rPr>
          <w:b/>
          <w:bCs/>
          <w:szCs w:val="24"/>
        </w:rPr>
      </w:pPr>
    </w:p>
    <w:p w14:paraId="27AAE375" w14:textId="2E9B75CE" w:rsidR="00FD166D" w:rsidRPr="004B5425" w:rsidRDefault="00FD166D" w:rsidP="00FD166D">
      <w:pPr>
        <w:spacing w:line="360" w:lineRule="auto"/>
        <w:jc w:val="center"/>
        <w:rPr>
          <w:b/>
          <w:bCs/>
          <w:szCs w:val="24"/>
        </w:rPr>
      </w:pPr>
      <w:r w:rsidRPr="004B5425">
        <w:rPr>
          <w:b/>
          <w:bCs/>
          <w:szCs w:val="24"/>
        </w:rPr>
        <w:t xml:space="preserve">Appendix A2: </w:t>
      </w:r>
      <w:r w:rsidR="002D6B41">
        <w:rPr>
          <w:b/>
          <w:bCs/>
          <w:szCs w:val="24"/>
        </w:rPr>
        <w:t xml:space="preserve">Biennial Budget Key </w:t>
      </w:r>
      <w:r w:rsidRPr="004B5425">
        <w:rPr>
          <w:b/>
          <w:bCs/>
          <w:szCs w:val="24"/>
        </w:rPr>
        <w:t xml:space="preserve">Assumptions </w:t>
      </w:r>
    </w:p>
    <w:tbl>
      <w:tblPr>
        <w:tblStyle w:val="MediumShading1-Accent11"/>
        <w:tblW w:w="0" w:type="auto"/>
        <w:tblLook w:val="04A0" w:firstRow="1" w:lastRow="0" w:firstColumn="1" w:lastColumn="0" w:noHBand="0" w:noVBand="1"/>
      </w:tblPr>
      <w:tblGrid>
        <w:gridCol w:w="4670"/>
        <w:gridCol w:w="4670"/>
      </w:tblGrid>
      <w:tr w:rsidR="00FD166D" w:rsidRPr="004B5425" w14:paraId="1FCA1BEA" w14:textId="77777777" w:rsidTr="00A025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0" w:type="dxa"/>
          </w:tcPr>
          <w:p w14:paraId="61E4C423" w14:textId="77777777" w:rsidR="00FD166D" w:rsidRPr="004B5425" w:rsidRDefault="00FD166D" w:rsidP="00A02530">
            <w:pPr>
              <w:jc w:val="center"/>
              <w:rPr>
                <w:szCs w:val="24"/>
              </w:rPr>
            </w:pPr>
            <w:r w:rsidRPr="004B5425">
              <w:rPr>
                <w:szCs w:val="24"/>
              </w:rPr>
              <w:t>Revenues and Other Funding Sources</w:t>
            </w:r>
          </w:p>
        </w:tc>
        <w:tc>
          <w:tcPr>
            <w:tcW w:w="4670" w:type="dxa"/>
          </w:tcPr>
          <w:p w14:paraId="20455B3E" w14:textId="77777777" w:rsidR="00FD166D" w:rsidRPr="004B5425" w:rsidRDefault="00FD166D" w:rsidP="00A02530">
            <w:pPr>
              <w:jc w:val="center"/>
              <w:cnfStyle w:val="100000000000" w:firstRow="1" w:lastRow="0" w:firstColumn="0" w:lastColumn="0" w:oddVBand="0" w:evenVBand="0" w:oddHBand="0" w:evenHBand="0" w:firstRowFirstColumn="0" w:firstRowLastColumn="0" w:lastRowFirstColumn="0" w:lastRowLastColumn="0"/>
              <w:rPr>
                <w:szCs w:val="24"/>
              </w:rPr>
            </w:pPr>
            <w:r w:rsidRPr="004B5425">
              <w:rPr>
                <w:szCs w:val="24"/>
              </w:rPr>
              <w:t>Expenses and Other Uses of Funds</w:t>
            </w:r>
          </w:p>
        </w:tc>
      </w:tr>
      <w:tr w:rsidR="00FD166D" w:rsidRPr="004B5425" w14:paraId="1699D4F4" w14:textId="77777777" w:rsidTr="00A02530">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4670" w:type="dxa"/>
            <w:tcBorders>
              <w:right w:val="single" w:sz="4" w:space="0" w:color="3494BA" w:themeColor="accent1"/>
            </w:tcBorders>
            <w:vAlign w:val="center"/>
          </w:tcPr>
          <w:p w14:paraId="279D90F0" w14:textId="77777777" w:rsidR="00FD166D" w:rsidRPr="0010550F" w:rsidRDefault="00FD166D" w:rsidP="00A02530">
            <w:pPr>
              <w:rPr>
                <w:b w:val="0"/>
                <w:szCs w:val="24"/>
                <w:highlight w:val="yellow"/>
              </w:rPr>
            </w:pPr>
            <w:r w:rsidRPr="0010550F">
              <w:rPr>
                <w:b w:val="0"/>
                <w:szCs w:val="24"/>
              </w:rPr>
              <w:t>4,000 new wastewater connections per year</w:t>
            </w:r>
          </w:p>
        </w:tc>
        <w:tc>
          <w:tcPr>
            <w:tcW w:w="4670" w:type="dxa"/>
            <w:tcBorders>
              <w:left w:val="single" w:sz="4" w:space="0" w:color="3494BA" w:themeColor="accent1"/>
            </w:tcBorders>
            <w:vAlign w:val="center"/>
          </w:tcPr>
          <w:p w14:paraId="62CE121D" w14:textId="77777777" w:rsidR="00FD166D" w:rsidRPr="004B5425" w:rsidRDefault="00FD166D" w:rsidP="00A02530">
            <w:pPr>
              <w:cnfStyle w:val="000000100000" w:firstRow="0" w:lastRow="0" w:firstColumn="0" w:lastColumn="0" w:oddVBand="0" w:evenVBand="0" w:oddHBand="1" w:evenHBand="0" w:firstRowFirstColumn="0" w:firstRowLastColumn="0" w:lastRowFirstColumn="0" w:lastRowLastColumn="0"/>
              <w:rPr>
                <w:bCs/>
                <w:szCs w:val="24"/>
                <w:highlight w:val="yellow"/>
              </w:rPr>
            </w:pPr>
            <w:r w:rsidRPr="004B5425">
              <w:rPr>
                <w:bCs/>
                <w:szCs w:val="24"/>
              </w:rPr>
              <w:t xml:space="preserve">3% average </w:t>
            </w:r>
            <w:r>
              <w:rPr>
                <w:bCs/>
                <w:szCs w:val="24"/>
              </w:rPr>
              <w:t xml:space="preserve">growth </w:t>
            </w:r>
            <w:r w:rsidRPr="004B5425">
              <w:rPr>
                <w:bCs/>
                <w:szCs w:val="24"/>
              </w:rPr>
              <w:t xml:space="preserve">for O&amp;M expenses </w:t>
            </w:r>
          </w:p>
        </w:tc>
      </w:tr>
      <w:tr w:rsidR="00FD166D" w:rsidRPr="004B5425" w14:paraId="5F3FABFB" w14:textId="77777777" w:rsidTr="00A025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0" w:type="dxa"/>
            <w:tcBorders>
              <w:right w:val="single" w:sz="4" w:space="0" w:color="3494BA" w:themeColor="accent1"/>
            </w:tcBorders>
            <w:vAlign w:val="center"/>
          </w:tcPr>
          <w:p w14:paraId="268B5621" w14:textId="77777777" w:rsidR="00FD166D" w:rsidRPr="0010550F" w:rsidRDefault="00FD166D" w:rsidP="00A02530">
            <w:pPr>
              <w:rPr>
                <w:b w:val="0"/>
                <w:szCs w:val="24"/>
              </w:rPr>
            </w:pPr>
            <w:r w:rsidRPr="0010550F">
              <w:rPr>
                <w:b w:val="0"/>
                <w:szCs w:val="24"/>
              </w:rPr>
              <w:t>3.4 million volumetric EDU @ 0.25% annual growth</w:t>
            </w:r>
          </w:p>
        </w:tc>
        <w:tc>
          <w:tcPr>
            <w:tcW w:w="4670" w:type="dxa"/>
            <w:tcBorders>
              <w:left w:val="single" w:sz="4" w:space="0" w:color="3494BA" w:themeColor="accent1"/>
            </w:tcBorders>
            <w:vAlign w:val="center"/>
          </w:tcPr>
          <w:p w14:paraId="4A740063" w14:textId="77777777" w:rsidR="00FD166D" w:rsidRPr="004B5425" w:rsidRDefault="00FD166D" w:rsidP="00A02530">
            <w:pPr>
              <w:cnfStyle w:val="000000010000" w:firstRow="0" w:lastRow="0" w:firstColumn="0" w:lastColumn="0" w:oddVBand="0" w:evenVBand="0" w:oddHBand="0" w:evenHBand="1" w:firstRowFirstColumn="0" w:firstRowLastColumn="0" w:lastRowFirstColumn="0" w:lastRowLastColumn="0"/>
              <w:rPr>
                <w:bCs/>
                <w:szCs w:val="24"/>
                <w:highlight w:val="yellow"/>
              </w:rPr>
            </w:pPr>
            <w:r w:rsidRPr="004B5425">
              <w:rPr>
                <w:bCs/>
                <w:szCs w:val="24"/>
              </w:rPr>
              <w:t>Eliminates vacancy factor in staffing to support succession plan</w:t>
            </w:r>
          </w:p>
        </w:tc>
      </w:tr>
      <w:tr w:rsidR="00FD166D" w:rsidRPr="004B5425" w14:paraId="3011AA7D" w14:textId="77777777" w:rsidTr="00A025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0" w:type="dxa"/>
            <w:tcBorders>
              <w:right w:val="single" w:sz="4" w:space="0" w:color="3494BA" w:themeColor="accent1"/>
            </w:tcBorders>
            <w:vAlign w:val="center"/>
          </w:tcPr>
          <w:p w14:paraId="28B5AA1B" w14:textId="77777777" w:rsidR="00FD166D" w:rsidRPr="0010550F" w:rsidRDefault="00FD166D" w:rsidP="00A02530">
            <w:pPr>
              <w:rPr>
                <w:b w:val="0"/>
                <w:szCs w:val="24"/>
              </w:rPr>
            </w:pPr>
            <w:r w:rsidRPr="0010550F">
              <w:rPr>
                <w:b w:val="0"/>
                <w:szCs w:val="24"/>
              </w:rPr>
              <w:t>Recycled Water Deliveries:</w:t>
            </w:r>
          </w:p>
          <w:p w14:paraId="5C4B9331" w14:textId="77777777" w:rsidR="00FD166D" w:rsidRPr="0010550F" w:rsidRDefault="00FD166D" w:rsidP="00A02530">
            <w:pPr>
              <w:rPr>
                <w:b w:val="0"/>
                <w:szCs w:val="24"/>
              </w:rPr>
            </w:pPr>
            <w:r w:rsidRPr="0010550F">
              <w:rPr>
                <w:b w:val="0"/>
                <w:szCs w:val="24"/>
              </w:rPr>
              <w:t xml:space="preserve">FY 2019/20                        35,800 AF </w:t>
            </w:r>
          </w:p>
          <w:p w14:paraId="5A5AA048" w14:textId="77777777" w:rsidR="00FD166D" w:rsidRPr="0010550F" w:rsidRDefault="00FD166D" w:rsidP="00A02530">
            <w:pPr>
              <w:rPr>
                <w:b w:val="0"/>
                <w:szCs w:val="24"/>
                <w:highlight w:val="yellow"/>
              </w:rPr>
            </w:pPr>
            <w:r w:rsidRPr="0010550F">
              <w:rPr>
                <w:b w:val="0"/>
                <w:szCs w:val="24"/>
              </w:rPr>
              <w:t>FY 2020/21                        36,000 AF</w:t>
            </w:r>
          </w:p>
        </w:tc>
        <w:tc>
          <w:tcPr>
            <w:tcW w:w="4670" w:type="dxa"/>
            <w:tcBorders>
              <w:left w:val="single" w:sz="4" w:space="0" w:color="3494BA" w:themeColor="accent1"/>
            </w:tcBorders>
            <w:vAlign w:val="center"/>
          </w:tcPr>
          <w:p w14:paraId="61C3D00F" w14:textId="77777777" w:rsidR="00FD166D" w:rsidRPr="004B5425" w:rsidRDefault="00FD166D" w:rsidP="00A02530">
            <w:pPr>
              <w:cnfStyle w:val="000000100000" w:firstRow="0" w:lastRow="0" w:firstColumn="0" w:lastColumn="0" w:oddVBand="0" w:evenVBand="0" w:oddHBand="1" w:evenHBand="0" w:firstRowFirstColumn="0" w:firstRowLastColumn="0" w:lastRowFirstColumn="0" w:lastRowLastColumn="0"/>
              <w:rPr>
                <w:bCs/>
                <w:szCs w:val="24"/>
                <w:highlight w:val="yellow"/>
              </w:rPr>
            </w:pPr>
            <w:r w:rsidRPr="004B5425">
              <w:rPr>
                <w:bCs/>
                <w:szCs w:val="24"/>
              </w:rPr>
              <w:t xml:space="preserve">Addition of several major construction projects within the next two-year period </w:t>
            </w:r>
          </w:p>
        </w:tc>
      </w:tr>
      <w:tr w:rsidR="00FD166D" w:rsidRPr="004B5425" w14:paraId="478A5D4A" w14:textId="77777777" w:rsidTr="00A02530">
        <w:trPr>
          <w:cnfStyle w:val="000000010000" w:firstRow="0" w:lastRow="0" w:firstColumn="0" w:lastColumn="0" w:oddVBand="0" w:evenVBand="0" w:oddHBand="0" w:evenHBand="1"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4670" w:type="dxa"/>
            <w:tcBorders>
              <w:right w:val="single" w:sz="4" w:space="0" w:color="3494BA" w:themeColor="accent1"/>
            </w:tcBorders>
            <w:vAlign w:val="center"/>
          </w:tcPr>
          <w:p w14:paraId="30C64B7D" w14:textId="77777777" w:rsidR="00FD166D" w:rsidRPr="0010550F" w:rsidRDefault="00FD166D" w:rsidP="00A02530">
            <w:pPr>
              <w:rPr>
                <w:b w:val="0"/>
                <w:szCs w:val="24"/>
                <w:highlight w:val="yellow"/>
              </w:rPr>
            </w:pPr>
            <w:r w:rsidRPr="0010550F">
              <w:rPr>
                <w:b w:val="0"/>
                <w:szCs w:val="24"/>
              </w:rPr>
              <w:t>4,700 and 4,630 new water connections (MEU) for FY 2019/20 &amp; FY 2020/21, respectively</w:t>
            </w:r>
          </w:p>
        </w:tc>
        <w:tc>
          <w:tcPr>
            <w:tcW w:w="4670" w:type="dxa"/>
            <w:tcBorders>
              <w:left w:val="single" w:sz="4" w:space="0" w:color="3494BA" w:themeColor="accent1"/>
            </w:tcBorders>
            <w:vAlign w:val="center"/>
          </w:tcPr>
          <w:p w14:paraId="424AB83A" w14:textId="77777777" w:rsidR="00FD166D" w:rsidRPr="004B5425" w:rsidRDefault="00FD166D" w:rsidP="00A02530">
            <w:pPr>
              <w:cnfStyle w:val="000000010000" w:firstRow="0" w:lastRow="0" w:firstColumn="0" w:lastColumn="0" w:oddVBand="0" w:evenVBand="0" w:oddHBand="0" w:evenHBand="1" w:firstRowFirstColumn="0" w:firstRowLastColumn="0" w:lastRowFirstColumn="0" w:lastRowLastColumn="0"/>
              <w:rPr>
                <w:bCs/>
                <w:szCs w:val="24"/>
                <w:highlight w:val="yellow"/>
              </w:rPr>
            </w:pPr>
            <w:r w:rsidRPr="004B5425">
              <w:rPr>
                <w:bCs/>
                <w:szCs w:val="24"/>
              </w:rPr>
              <w:t>Leverage professional services to achieve effective maintenance approach</w:t>
            </w:r>
          </w:p>
        </w:tc>
      </w:tr>
      <w:tr w:rsidR="00FD166D" w:rsidRPr="004B5425" w14:paraId="6E9BB53E" w14:textId="77777777" w:rsidTr="00A025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0" w:type="dxa"/>
            <w:tcBorders>
              <w:right w:val="single" w:sz="4" w:space="0" w:color="3494BA" w:themeColor="accent1"/>
            </w:tcBorders>
            <w:vAlign w:val="center"/>
          </w:tcPr>
          <w:p w14:paraId="2229C005" w14:textId="74F8C276" w:rsidR="00FD166D" w:rsidRPr="0010550F" w:rsidRDefault="00FD166D" w:rsidP="00A02530">
            <w:pPr>
              <w:shd w:val="clear" w:color="auto" w:fill="D4EAF3" w:themeFill="accent1" w:themeFillTint="33"/>
              <w:rPr>
                <w:b w:val="0"/>
                <w:szCs w:val="24"/>
              </w:rPr>
            </w:pPr>
            <w:r w:rsidRPr="0010550F">
              <w:rPr>
                <w:b w:val="0"/>
                <w:szCs w:val="24"/>
              </w:rPr>
              <w:t xml:space="preserve">4% </w:t>
            </w:r>
            <w:r w:rsidR="00973D91">
              <w:rPr>
                <w:b w:val="0"/>
                <w:szCs w:val="24"/>
              </w:rPr>
              <w:t xml:space="preserve">(FY 2019/20) </w:t>
            </w:r>
            <w:r w:rsidRPr="0010550F">
              <w:rPr>
                <w:b w:val="0"/>
                <w:szCs w:val="24"/>
              </w:rPr>
              <w:t xml:space="preserve">and 3% </w:t>
            </w:r>
            <w:r w:rsidR="000E2692">
              <w:rPr>
                <w:b w:val="0"/>
                <w:szCs w:val="24"/>
              </w:rPr>
              <w:t xml:space="preserve">(FY 2020/21) </w:t>
            </w:r>
            <w:r w:rsidRPr="0010550F">
              <w:rPr>
                <w:b w:val="0"/>
                <w:szCs w:val="24"/>
              </w:rPr>
              <w:t>growth in property tax receipts.</w:t>
            </w:r>
          </w:p>
          <w:p w14:paraId="36B83504" w14:textId="77777777" w:rsidR="00FD166D" w:rsidRPr="0010550F" w:rsidRDefault="00FD166D" w:rsidP="00A02530">
            <w:pPr>
              <w:shd w:val="clear" w:color="auto" w:fill="D4EAF3" w:themeFill="accent1" w:themeFillTint="33"/>
              <w:rPr>
                <w:b w:val="0"/>
                <w:szCs w:val="24"/>
              </w:rPr>
            </w:pPr>
            <w:r w:rsidRPr="0010550F">
              <w:rPr>
                <w:b w:val="0"/>
                <w:szCs w:val="24"/>
              </w:rPr>
              <w:t>Property tax allocated to Regional Capital fund remains at 65%, and “fixed amount” allocation to Regional O&amp;M, Recycled Water, and Administrative Service funds, based on FY 2016/17 budget amendment.</w:t>
            </w:r>
          </w:p>
        </w:tc>
        <w:tc>
          <w:tcPr>
            <w:tcW w:w="4670" w:type="dxa"/>
            <w:tcBorders>
              <w:left w:val="single" w:sz="4" w:space="0" w:color="3494BA" w:themeColor="accent1"/>
            </w:tcBorders>
            <w:vAlign w:val="center"/>
          </w:tcPr>
          <w:p w14:paraId="53D6B2F1" w14:textId="77777777" w:rsidR="00FD166D" w:rsidRPr="004B5425" w:rsidRDefault="00FD166D" w:rsidP="00A02530">
            <w:pPr>
              <w:cnfStyle w:val="000000100000" w:firstRow="0" w:lastRow="0" w:firstColumn="0" w:lastColumn="0" w:oddVBand="0" w:evenVBand="0" w:oddHBand="1" w:evenHBand="0" w:firstRowFirstColumn="0" w:firstRowLastColumn="0" w:lastRowFirstColumn="0" w:lastRowLastColumn="0"/>
              <w:rPr>
                <w:bCs/>
                <w:szCs w:val="24"/>
              </w:rPr>
            </w:pPr>
            <w:bookmarkStart w:id="1" w:name="_GoBack"/>
            <w:bookmarkEnd w:id="1"/>
          </w:p>
        </w:tc>
      </w:tr>
      <w:tr w:rsidR="00FD166D" w:rsidRPr="004B5425" w14:paraId="34BB6828" w14:textId="77777777" w:rsidTr="00A02530">
        <w:trPr>
          <w:cnfStyle w:val="000000010000" w:firstRow="0" w:lastRow="0" w:firstColumn="0" w:lastColumn="0" w:oddVBand="0" w:evenVBand="0" w:oddHBand="0" w:evenHBand="1"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4670" w:type="dxa"/>
            <w:tcBorders>
              <w:right w:val="single" w:sz="4" w:space="0" w:color="3494BA" w:themeColor="accent1"/>
            </w:tcBorders>
            <w:vAlign w:val="center"/>
          </w:tcPr>
          <w:p w14:paraId="668508BA" w14:textId="77777777" w:rsidR="00FD166D" w:rsidRPr="0010550F" w:rsidRDefault="00FD166D" w:rsidP="00A02530">
            <w:pPr>
              <w:rPr>
                <w:b w:val="0"/>
                <w:szCs w:val="24"/>
              </w:rPr>
            </w:pPr>
            <w:r w:rsidRPr="0010550F">
              <w:rPr>
                <w:b w:val="0"/>
                <w:szCs w:val="24"/>
              </w:rPr>
              <w:t>Capital Improvement Plan (CIP) partially funded by low interest SRF loans and grants</w:t>
            </w:r>
          </w:p>
        </w:tc>
        <w:tc>
          <w:tcPr>
            <w:tcW w:w="4670" w:type="dxa"/>
            <w:tcBorders>
              <w:left w:val="single" w:sz="4" w:space="0" w:color="3494BA" w:themeColor="accent1"/>
            </w:tcBorders>
            <w:vAlign w:val="center"/>
          </w:tcPr>
          <w:p w14:paraId="18ACB57E" w14:textId="77777777" w:rsidR="00FD166D" w:rsidRPr="004B5425" w:rsidRDefault="00FD166D" w:rsidP="00A02530">
            <w:pPr>
              <w:cnfStyle w:val="000000010000" w:firstRow="0" w:lastRow="0" w:firstColumn="0" w:lastColumn="0" w:oddVBand="0" w:evenVBand="0" w:oddHBand="0" w:evenHBand="1" w:firstRowFirstColumn="0" w:firstRowLastColumn="0" w:lastRowFirstColumn="0" w:lastRowLastColumn="0"/>
              <w:rPr>
                <w:bCs/>
                <w:szCs w:val="24"/>
                <w:highlight w:val="yellow"/>
              </w:rPr>
            </w:pPr>
          </w:p>
        </w:tc>
      </w:tr>
    </w:tbl>
    <w:p w14:paraId="0E4408FC" w14:textId="77777777" w:rsidR="00A6453A" w:rsidRPr="004B5425" w:rsidRDefault="00A6453A" w:rsidP="00A6453A">
      <w:pPr>
        <w:spacing w:line="360" w:lineRule="auto"/>
        <w:jc w:val="center"/>
        <w:rPr>
          <w:b/>
          <w:bCs/>
          <w:szCs w:val="24"/>
        </w:rPr>
      </w:pPr>
    </w:p>
    <w:p w14:paraId="3CF6D1C7" w14:textId="77777777" w:rsidR="00C20BEC" w:rsidRDefault="00C20BEC" w:rsidP="00FA2538">
      <w:pPr>
        <w:spacing w:line="360" w:lineRule="auto"/>
        <w:jc w:val="center"/>
        <w:rPr>
          <w:b/>
          <w:bCs/>
          <w:szCs w:val="24"/>
        </w:rPr>
      </w:pPr>
    </w:p>
    <w:p w14:paraId="52AD707B" w14:textId="77777777" w:rsidR="00C20BEC" w:rsidRDefault="00C20BEC" w:rsidP="00FA2538">
      <w:pPr>
        <w:spacing w:line="360" w:lineRule="auto"/>
        <w:jc w:val="center"/>
        <w:rPr>
          <w:b/>
          <w:bCs/>
          <w:szCs w:val="24"/>
        </w:rPr>
      </w:pPr>
    </w:p>
    <w:p w14:paraId="22DC7DE5" w14:textId="77777777" w:rsidR="00C20BEC" w:rsidRDefault="00C20BEC" w:rsidP="00FA2538">
      <w:pPr>
        <w:spacing w:line="360" w:lineRule="auto"/>
        <w:jc w:val="center"/>
        <w:rPr>
          <w:b/>
          <w:bCs/>
          <w:szCs w:val="24"/>
        </w:rPr>
      </w:pPr>
    </w:p>
    <w:p w14:paraId="605F691C" w14:textId="77777777" w:rsidR="00C20BEC" w:rsidRDefault="00C20BEC" w:rsidP="00FA2538">
      <w:pPr>
        <w:spacing w:line="360" w:lineRule="auto"/>
        <w:jc w:val="center"/>
        <w:rPr>
          <w:b/>
          <w:bCs/>
          <w:szCs w:val="24"/>
        </w:rPr>
      </w:pPr>
    </w:p>
    <w:p w14:paraId="6DDEEA72" w14:textId="77777777" w:rsidR="00C20BEC" w:rsidRDefault="00C20BEC" w:rsidP="00FA2538">
      <w:pPr>
        <w:spacing w:line="360" w:lineRule="auto"/>
        <w:jc w:val="center"/>
        <w:rPr>
          <w:b/>
          <w:bCs/>
          <w:szCs w:val="24"/>
        </w:rPr>
      </w:pPr>
    </w:p>
    <w:p w14:paraId="5520C660" w14:textId="77777777" w:rsidR="00C20BEC" w:rsidRDefault="00C20BEC" w:rsidP="00FA2538">
      <w:pPr>
        <w:spacing w:line="360" w:lineRule="auto"/>
        <w:jc w:val="center"/>
        <w:rPr>
          <w:b/>
          <w:bCs/>
          <w:szCs w:val="24"/>
        </w:rPr>
      </w:pPr>
    </w:p>
    <w:p w14:paraId="4157663B" w14:textId="77777777" w:rsidR="00C20BEC" w:rsidRDefault="00C20BEC" w:rsidP="00FA2538">
      <w:pPr>
        <w:spacing w:line="360" w:lineRule="auto"/>
        <w:jc w:val="center"/>
        <w:rPr>
          <w:b/>
          <w:bCs/>
          <w:szCs w:val="24"/>
        </w:rPr>
      </w:pPr>
    </w:p>
    <w:p w14:paraId="18624FA6" w14:textId="77777777" w:rsidR="00C20BEC" w:rsidRDefault="00C20BEC" w:rsidP="00FA2538">
      <w:pPr>
        <w:spacing w:line="360" w:lineRule="auto"/>
        <w:jc w:val="center"/>
        <w:rPr>
          <w:b/>
          <w:bCs/>
          <w:szCs w:val="24"/>
        </w:rPr>
      </w:pPr>
    </w:p>
    <w:p w14:paraId="35D89BD2" w14:textId="77777777" w:rsidR="00C20BEC" w:rsidRDefault="00C20BEC" w:rsidP="00FA2538">
      <w:pPr>
        <w:spacing w:line="360" w:lineRule="auto"/>
        <w:jc w:val="center"/>
        <w:rPr>
          <w:b/>
          <w:bCs/>
          <w:szCs w:val="24"/>
        </w:rPr>
      </w:pPr>
    </w:p>
    <w:p w14:paraId="64346808" w14:textId="77777777" w:rsidR="00C20BEC" w:rsidRDefault="00C20BEC" w:rsidP="00FA2538">
      <w:pPr>
        <w:spacing w:line="360" w:lineRule="auto"/>
        <w:jc w:val="center"/>
        <w:rPr>
          <w:b/>
          <w:bCs/>
          <w:szCs w:val="24"/>
        </w:rPr>
      </w:pPr>
    </w:p>
    <w:p w14:paraId="52BB6AAF" w14:textId="77777777" w:rsidR="0081568E" w:rsidRDefault="0081568E" w:rsidP="00FA2538">
      <w:pPr>
        <w:spacing w:line="360" w:lineRule="auto"/>
        <w:jc w:val="center"/>
        <w:rPr>
          <w:b/>
          <w:bCs/>
          <w:szCs w:val="24"/>
        </w:rPr>
      </w:pPr>
    </w:p>
    <w:p w14:paraId="2C01E6C5" w14:textId="77777777" w:rsidR="0081568E" w:rsidRDefault="0081568E" w:rsidP="00FA2538">
      <w:pPr>
        <w:spacing w:line="360" w:lineRule="auto"/>
        <w:jc w:val="center"/>
        <w:rPr>
          <w:b/>
          <w:bCs/>
          <w:szCs w:val="24"/>
        </w:rPr>
      </w:pPr>
    </w:p>
    <w:p w14:paraId="4F9C1AD6" w14:textId="77777777" w:rsidR="0081568E" w:rsidRDefault="0081568E" w:rsidP="00FA2538">
      <w:pPr>
        <w:spacing w:line="360" w:lineRule="auto"/>
        <w:jc w:val="center"/>
        <w:rPr>
          <w:b/>
          <w:bCs/>
          <w:szCs w:val="24"/>
        </w:rPr>
      </w:pPr>
    </w:p>
    <w:p w14:paraId="4B893544" w14:textId="77777777" w:rsidR="0081568E" w:rsidRDefault="0081568E" w:rsidP="00FA2538">
      <w:pPr>
        <w:spacing w:line="360" w:lineRule="auto"/>
        <w:jc w:val="center"/>
        <w:rPr>
          <w:b/>
          <w:bCs/>
          <w:szCs w:val="24"/>
        </w:rPr>
      </w:pPr>
    </w:p>
    <w:p w14:paraId="05E8CD60" w14:textId="77777777" w:rsidR="0081568E" w:rsidRDefault="0081568E" w:rsidP="00FA2538">
      <w:pPr>
        <w:spacing w:line="360" w:lineRule="auto"/>
        <w:jc w:val="center"/>
        <w:rPr>
          <w:b/>
          <w:bCs/>
          <w:szCs w:val="24"/>
        </w:rPr>
      </w:pPr>
    </w:p>
    <w:p w14:paraId="709EF29F" w14:textId="77777777" w:rsidR="0081568E" w:rsidRDefault="0081568E" w:rsidP="00FA2538">
      <w:pPr>
        <w:spacing w:line="360" w:lineRule="auto"/>
        <w:jc w:val="center"/>
        <w:rPr>
          <w:b/>
          <w:bCs/>
          <w:szCs w:val="24"/>
        </w:rPr>
      </w:pPr>
    </w:p>
    <w:p w14:paraId="5982D28B" w14:textId="1CCEB413" w:rsidR="00FA2538" w:rsidRDefault="00FA2538" w:rsidP="00FA2538">
      <w:pPr>
        <w:spacing w:line="360" w:lineRule="auto"/>
        <w:jc w:val="center"/>
        <w:rPr>
          <w:b/>
          <w:bCs/>
          <w:szCs w:val="24"/>
        </w:rPr>
      </w:pPr>
      <w:r w:rsidRPr="004B5425">
        <w:rPr>
          <w:b/>
          <w:bCs/>
          <w:szCs w:val="24"/>
        </w:rPr>
        <w:t xml:space="preserve">Appendix </w:t>
      </w:r>
      <w:r>
        <w:rPr>
          <w:b/>
          <w:bCs/>
          <w:szCs w:val="24"/>
        </w:rPr>
        <w:t>B</w:t>
      </w:r>
      <w:r w:rsidRPr="004B5425">
        <w:rPr>
          <w:b/>
          <w:bCs/>
          <w:szCs w:val="24"/>
        </w:rPr>
        <w:t xml:space="preserve">: </w:t>
      </w:r>
      <w:r>
        <w:rPr>
          <w:b/>
          <w:bCs/>
          <w:szCs w:val="24"/>
        </w:rPr>
        <w:t xml:space="preserve">FY 2019/20 and FY </w:t>
      </w:r>
      <w:r w:rsidRPr="004B5425">
        <w:rPr>
          <w:b/>
          <w:bCs/>
          <w:szCs w:val="24"/>
        </w:rPr>
        <w:t xml:space="preserve"> </w:t>
      </w:r>
      <w:r>
        <w:rPr>
          <w:b/>
          <w:bCs/>
          <w:szCs w:val="24"/>
        </w:rPr>
        <w:t>2020/21 Non-Reclaimable Wastewater Fund Proposed Budget and Rates</w:t>
      </w:r>
    </w:p>
    <w:p w14:paraId="3FD33709" w14:textId="77777777" w:rsidR="00FA2538" w:rsidRDefault="00FA2538" w:rsidP="00FA2538">
      <w:pPr>
        <w:jc w:val="both"/>
        <w:rPr>
          <w:szCs w:val="24"/>
        </w:rPr>
      </w:pPr>
      <w:r w:rsidRPr="00B76734">
        <w:rPr>
          <w:szCs w:val="24"/>
        </w:rPr>
        <w:t>The Non-Reclaimable Wastewater (</w:t>
      </w:r>
      <w:r>
        <w:rPr>
          <w:szCs w:val="24"/>
        </w:rPr>
        <w:t>NWR</w:t>
      </w:r>
      <w:r w:rsidRPr="00B76734">
        <w:rPr>
          <w:szCs w:val="24"/>
        </w:rPr>
        <w:t xml:space="preserve">) fund records the transactions for the acquisition, construction, expansion, replacement, and operation of the Agency’s non-reclaimable wastewater sewer lines, interceptors, and appurtenant facilities.  </w:t>
      </w:r>
    </w:p>
    <w:p w14:paraId="24F32DF6" w14:textId="77777777" w:rsidR="00FA2538" w:rsidRDefault="00FA2538" w:rsidP="00FA2538">
      <w:pPr>
        <w:jc w:val="both"/>
        <w:rPr>
          <w:szCs w:val="24"/>
        </w:rPr>
      </w:pPr>
    </w:p>
    <w:p w14:paraId="2036FA1B" w14:textId="730B6402" w:rsidR="00FA2538" w:rsidRPr="007558F4" w:rsidRDefault="00FA2538" w:rsidP="00FA2538">
      <w:pPr>
        <w:jc w:val="both"/>
        <w:rPr>
          <w:szCs w:val="24"/>
        </w:rPr>
      </w:pPr>
      <w:r w:rsidRPr="007558F4">
        <w:rPr>
          <w:szCs w:val="24"/>
        </w:rPr>
        <w:t>The Non-Reclaimable Wastewater program has budgeted total revenues and other funding sources of $</w:t>
      </w:r>
      <w:r>
        <w:rPr>
          <w:szCs w:val="24"/>
        </w:rPr>
        <w:t>18</w:t>
      </w:r>
      <w:r w:rsidRPr="007558F4">
        <w:rPr>
          <w:szCs w:val="24"/>
        </w:rPr>
        <w:t>.</w:t>
      </w:r>
      <w:r>
        <w:rPr>
          <w:szCs w:val="24"/>
        </w:rPr>
        <w:t>5</w:t>
      </w:r>
      <w:r w:rsidRPr="007558F4">
        <w:rPr>
          <w:szCs w:val="24"/>
        </w:rPr>
        <w:t xml:space="preserve"> million and $1</w:t>
      </w:r>
      <w:r>
        <w:rPr>
          <w:szCs w:val="24"/>
        </w:rPr>
        <w:t>9</w:t>
      </w:r>
      <w:r w:rsidRPr="007558F4">
        <w:rPr>
          <w:szCs w:val="24"/>
        </w:rPr>
        <w:t>.</w:t>
      </w:r>
      <w:r w:rsidR="003E453F">
        <w:rPr>
          <w:szCs w:val="24"/>
        </w:rPr>
        <w:t>7</w:t>
      </w:r>
      <w:r w:rsidRPr="007558F4">
        <w:rPr>
          <w:szCs w:val="24"/>
        </w:rPr>
        <w:t xml:space="preserve"> million for FYs 201</w:t>
      </w:r>
      <w:r>
        <w:rPr>
          <w:szCs w:val="24"/>
        </w:rPr>
        <w:t>9</w:t>
      </w:r>
      <w:r w:rsidRPr="007558F4">
        <w:rPr>
          <w:szCs w:val="24"/>
        </w:rPr>
        <w:t>/</w:t>
      </w:r>
      <w:r>
        <w:rPr>
          <w:szCs w:val="24"/>
        </w:rPr>
        <w:t>20</w:t>
      </w:r>
      <w:r w:rsidRPr="007558F4">
        <w:rPr>
          <w:szCs w:val="24"/>
        </w:rPr>
        <w:t xml:space="preserve"> and 20</w:t>
      </w:r>
      <w:r>
        <w:rPr>
          <w:szCs w:val="24"/>
        </w:rPr>
        <w:t>20</w:t>
      </w:r>
      <w:r w:rsidRPr="007558F4">
        <w:rPr>
          <w:szCs w:val="24"/>
        </w:rPr>
        <w:t>/</w:t>
      </w:r>
      <w:r>
        <w:rPr>
          <w:szCs w:val="24"/>
        </w:rPr>
        <w:t>21</w:t>
      </w:r>
      <w:r w:rsidRPr="007558F4">
        <w:rPr>
          <w:szCs w:val="24"/>
        </w:rPr>
        <w:t>, respectively</w:t>
      </w:r>
      <w:r>
        <w:rPr>
          <w:szCs w:val="24"/>
        </w:rPr>
        <w:t>.</w:t>
      </w:r>
      <w:r w:rsidRPr="007558F4">
        <w:rPr>
          <w:szCs w:val="24"/>
        </w:rPr>
        <w:t xml:space="preserve"> The primary funding source for the Non-Reclaimable Wastewater fund are the pass-through rates from the Sanitation District of Los Angeles County (</w:t>
      </w:r>
      <w:r w:rsidR="001F0A76">
        <w:rPr>
          <w:szCs w:val="24"/>
        </w:rPr>
        <w:t>C</w:t>
      </w:r>
      <w:r w:rsidRPr="007558F4">
        <w:rPr>
          <w:szCs w:val="24"/>
        </w:rPr>
        <w:t>SDLAC) for the north system and the Santa Ana Watershed Project Authority (SAWPA) for the south system. Revenues also include fees for agency program charges, capacity fees (CIP), wastewater connection fees transferred from Regional Wastewater Capital Improvement fund, and interest income.</w:t>
      </w:r>
    </w:p>
    <w:p w14:paraId="78259913" w14:textId="77777777" w:rsidR="00FA2538" w:rsidRDefault="00FA2538" w:rsidP="00FA2538">
      <w:pPr>
        <w:jc w:val="both"/>
        <w:rPr>
          <w:szCs w:val="24"/>
        </w:rPr>
      </w:pPr>
    </w:p>
    <w:p w14:paraId="556E61BE" w14:textId="7224A4D6" w:rsidR="00FA2538" w:rsidRDefault="00FA2538" w:rsidP="00FA2538">
      <w:pPr>
        <w:jc w:val="both"/>
        <w:rPr>
          <w:szCs w:val="24"/>
        </w:rPr>
      </w:pPr>
      <w:r w:rsidRPr="000B506D">
        <w:rPr>
          <w:b/>
          <w:i/>
          <w:szCs w:val="24"/>
        </w:rPr>
        <w:t xml:space="preserve">Non-Reclaimable Wastewater System (NRWS) Rates: </w:t>
      </w:r>
      <w:r w:rsidRPr="000B506D">
        <w:rPr>
          <w:szCs w:val="24"/>
        </w:rPr>
        <w:t>For board review and approval are the FY 201</w:t>
      </w:r>
      <w:r>
        <w:rPr>
          <w:szCs w:val="24"/>
        </w:rPr>
        <w:t>9</w:t>
      </w:r>
      <w:r w:rsidRPr="000B506D">
        <w:rPr>
          <w:szCs w:val="24"/>
        </w:rPr>
        <w:t>/</w:t>
      </w:r>
      <w:r>
        <w:rPr>
          <w:szCs w:val="24"/>
        </w:rPr>
        <w:t>20</w:t>
      </w:r>
      <w:r w:rsidRPr="000B506D">
        <w:rPr>
          <w:szCs w:val="24"/>
        </w:rPr>
        <w:t xml:space="preserve"> pass-through rates of Sanitation District of Los Angeles County (</w:t>
      </w:r>
      <w:r w:rsidR="001F0A76">
        <w:rPr>
          <w:szCs w:val="24"/>
        </w:rPr>
        <w:t>C</w:t>
      </w:r>
      <w:r w:rsidRPr="000B506D">
        <w:rPr>
          <w:szCs w:val="24"/>
        </w:rPr>
        <w:t xml:space="preserve">SDLAC) for the north NRWS and the Santa Ana Watershed Project Authority (SAWPA) for the south NRWS. The </w:t>
      </w:r>
      <w:r w:rsidR="001F0A76">
        <w:rPr>
          <w:szCs w:val="24"/>
        </w:rPr>
        <w:t>C</w:t>
      </w:r>
      <w:r w:rsidRPr="000B506D">
        <w:rPr>
          <w:szCs w:val="24"/>
        </w:rPr>
        <w:t xml:space="preserve">SDLAC annual rate structure for the NRW north system is updated based on the </w:t>
      </w:r>
      <w:r>
        <w:rPr>
          <w:szCs w:val="24"/>
        </w:rPr>
        <w:t xml:space="preserve">2014 </w:t>
      </w:r>
      <w:r w:rsidRPr="000B506D">
        <w:rPr>
          <w:szCs w:val="24"/>
        </w:rPr>
        <w:t>agreement</w:t>
      </w:r>
      <w:r>
        <w:rPr>
          <w:szCs w:val="24"/>
        </w:rPr>
        <w:t>.</w:t>
      </w:r>
      <w:r w:rsidRPr="000B506D">
        <w:rPr>
          <w:szCs w:val="24"/>
        </w:rPr>
        <w:t xml:space="preserve"> </w:t>
      </w:r>
      <w:r w:rsidRPr="00A35611">
        <w:rPr>
          <w:szCs w:val="24"/>
        </w:rPr>
        <w:t>The NRW south system rates are based on SAWPA rates</w:t>
      </w:r>
      <w:r>
        <w:rPr>
          <w:szCs w:val="24"/>
        </w:rPr>
        <w:t>.</w:t>
      </w:r>
      <w:r w:rsidRPr="004D2EA6">
        <w:rPr>
          <w:szCs w:val="24"/>
        </w:rPr>
        <w:t xml:space="preserve"> </w:t>
      </w:r>
      <w:r w:rsidRPr="00A35611">
        <w:rPr>
          <w:szCs w:val="24"/>
        </w:rPr>
        <w:t>Both NRWS rates are effective July 1, 201</w:t>
      </w:r>
      <w:r>
        <w:rPr>
          <w:szCs w:val="24"/>
        </w:rPr>
        <w:t>9</w:t>
      </w:r>
      <w:r w:rsidRPr="00A35611">
        <w:rPr>
          <w:szCs w:val="24"/>
        </w:rPr>
        <w:t xml:space="preserve"> as listed in Table </w:t>
      </w:r>
      <w:r>
        <w:rPr>
          <w:szCs w:val="24"/>
        </w:rPr>
        <w:t>B-</w:t>
      </w:r>
      <w:r w:rsidRPr="00A35611">
        <w:rPr>
          <w:szCs w:val="24"/>
        </w:rPr>
        <w:t>1</w:t>
      </w:r>
      <w:r>
        <w:rPr>
          <w:szCs w:val="24"/>
        </w:rPr>
        <w:t>.</w:t>
      </w:r>
    </w:p>
    <w:p w14:paraId="06A888F9" w14:textId="77777777" w:rsidR="00FA2538" w:rsidRDefault="00FA2538" w:rsidP="00FA2538">
      <w:pPr>
        <w:jc w:val="both"/>
        <w:rPr>
          <w:szCs w:val="24"/>
        </w:rPr>
      </w:pPr>
    </w:p>
    <w:p w14:paraId="0A9B6EDC" w14:textId="022AA77E" w:rsidR="00FA2538" w:rsidRDefault="00FA2538" w:rsidP="00FA2538">
      <w:pPr>
        <w:jc w:val="both"/>
        <w:rPr>
          <w:szCs w:val="24"/>
        </w:rPr>
      </w:pPr>
      <w:r>
        <w:rPr>
          <w:szCs w:val="24"/>
        </w:rPr>
        <w:t xml:space="preserve">The Agency recovers the NRWS program costs </w:t>
      </w:r>
      <w:r w:rsidRPr="000B506D">
        <w:rPr>
          <w:szCs w:val="24"/>
        </w:rPr>
        <w:t>through capacity charges</w:t>
      </w:r>
      <w:r>
        <w:rPr>
          <w:szCs w:val="24"/>
        </w:rPr>
        <w:t xml:space="preserve"> for the north system</w:t>
      </w:r>
      <w:r w:rsidR="00F66A30">
        <w:rPr>
          <w:szCs w:val="24"/>
        </w:rPr>
        <w:t xml:space="preserve">, </w:t>
      </w:r>
      <w:r w:rsidR="001F0A76">
        <w:rPr>
          <w:szCs w:val="24"/>
        </w:rPr>
        <w:t xml:space="preserve">and </w:t>
      </w:r>
      <w:r w:rsidR="00F66A30">
        <w:rPr>
          <w:szCs w:val="24"/>
        </w:rPr>
        <w:t>f</w:t>
      </w:r>
      <w:r w:rsidRPr="000B506D">
        <w:rPr>
          <w:szCs w:val="24"/>
        </w:rPr>
        <w:t xml:space="preserve">or </w:t>
      </w:r>
      <w:r w:rsidRPr="00C20BEC">
        <w:rPr>
          <w:szCs w:val="24"/>
        </w:rPr>
        <w:t>FY 201</w:t>
      </w:r>
      <w:r w:rsidR="007350AF" w:rsidRPr="00C20BEC">
        <w:rPr>
          <w:szCs w:val="24"/>
        </w:rPr>
        <w:t>9</w:t>
      </w:r>
      <w:r w:rsidRPr="00C20BEC">
        <w:rPr>
          <w:szCs w:val="24"/>
        </w:rPr>
        <w:t>/</w:t>
      </w:r>
      <w:r w:rsidR="007350AF" w:rsidRPr="00C20BEC">
        <w:rPr>
          <w:szCs w:val="24"/>
        </w:rPr>
        <w:t>20</w:t>
      </w:r>
      <w:r w:rsidRPr="00C20BEC">
        <w:rPr>
          <w:szCs w:val="24"/>
        </w:rPr>
        <w:t xml:space="preserve"> the capacity charge per unit is $</w:t>
      </w:r>
      <w:r w:rsidR="00C20BEC" w:rsidRPr="00C20BEC">
        <w:rPr>
          <w:szCs w:val="24"/>
        </w:rPr>
        <w:t>20</w:t>
      </w:r>
      <w:r w:rsidRPr="00C20BEC">
        <w:rPr>
          <w:szCs w:val="24"/>
        </w:rPr>
        <w:t>.</w:t>
      </w:r>
      <w:r w:rsidR="00C20BEC" w:rsidRPr="00C20BEC">
        <w:rPr>
          <w:szCs w:val="24"/>
        </w:rPr>
        <w:t>25</w:t>
      </w:r>
      <w:r w:rsidR="00F66A30">
        <w:rPr>
          <w:szCs w:val="24"/>
        </w:rPr>
        <w:t xml:space="preserve">. The NRWS </w:t>
      </w:r>
      <w:r>
        <w:rPr>
          <w:szCs w:val="24"/>
        </w:rPr>
        <w:t xml:space="preserve">south system </w:t>
      </w:r>
      <w:r w:rsidRPr="000B506D">
        <w:rPr>
          <w:szCs w:val="24"/>
        </w:rPr>
        <w:t xml:space="preserve">program costs are recovered through </w:t>
      </w:r>
      <w:r>
        <w:rPr>
          <w:szCs w:val="24"/>
        </w:rPr>
        <w:t xml:space="preserve">a </w:t>
      </w:r>
      <w:r w:rsidR="001F0A76">
        <w:rPr>
          <w:szCs w:val="24"/>
        </w:rPr>
        <w:t>fifty percent</w:t>
      </w:r>
      <w:r>
        <w:rPr>
          <w:szCs w:val="24"/>
        </w:rPr>
        <w:t xml:space="preserve"> operating surcharge imposed on </w:t>
      </w:r>
      <w:r w:rsidRPr="000B506D">
        <w:rPr>
          <w:szCs w:val="24"/>
        </w:rPr>
        <w:t>volumetric, capacity</w:t>
      </w:r>
      <w:r w:rsidR="001F0A76">
        <w:rPr>
          <w:szCs w:val="24"/>
        </w:rPr>
        <w:t>,</w:t>
      </w:r>
      <w:r w:rsidRPr="000B506D">
        <w:rPr>
          <w:szCs w:val="24"/>
        </w:rPr>
        <w:t xml:space="preserve"> and strength charges</w:t>
      </w:r>
      <w:r>
        <w:rPr>
          <w:szCs w:val="24"/>
        </w:rPr>
        <w:t xml:space="preserve"> for non-recycled water users</w:t>
      </w:r>
      <w:r w:rsidRPr="000B506D">
        <w:rPr>
          <w:szCs w:val="24"/>
        </w:rPr>
        <w:t>.</w:t>
      </w:r>
      <w:r>
        <w:rPr>
          <w:szCs w:val="24"/>
        </w:rPr>
        <w:t xml:space="preserve"> </w:t>
      </w:r>
    </w:p>
    <w:p w14:paraId="07F89C75" w14:textId="77777777" w:rsidR="00FA2538" w:rsidRPr="000B506D" w:rsidRDefault="00FA2538" w:rsidP="00FA2538">
      <w:pPr>
        <w:jc w:val="both"/>
        <w:rPr>
          <w:szCs w:val="24"/>
        </w:rPr>
      </w:pPr>
    </w:p>
    <w:p w14:paraId="6796E043" w14:textId="77777777" w:rsidR="00FA2538" w:rsidRDefault="00FA2538" w:rsidP="00FA2538">
      <w:pPr>
        <w:pStyle w:val="ListParagraph"/>
        <w:ind w:left="1440"/>
        <w:jc w:val="both"/>
        <w:rPr>
          <w:b/>
          <w:szCs w:val="24"/>
        </w:rPr>
      </w:pPr>
      <w:r w:rsidRPr="00D70CA5">
        <w:rPr>
          <w:b/>
          <w:szCs w:val="24"/>
        </w:rPr>
        <w:t xml:space="preserve">Table </w:t>
      </w:r>
      <w:r>
        <w:rPr>
          <w:b/>
          <w:szCs w:val="24"/>
        </w:rPr>
        <w:t>B-1</w:t>
      </w:r>
      <w:r w:rsidRPr="00D70CA5">
        <w:rPr>
          <w:b/>
          <w:szCs w:val="24"/>
        </w:rPr>
        <w:t>:</w:t>
      </w:r>
      <w:r>
        <w:rPr>
          <w:b/>
          <w:szCs w:val="24"/>
        </w:rPr>
        <w:t xml:space="preserve"> NRW Proposed Program Rates – North and South Systems</w:t>
      </w:r>
    </w:p>
    <w:tbl>
      <w:tblPr>
        <w:tblStyle w:val="MediumGrid3-Accent11"/>
        <w:tblW w:w="0" w:type="auto"/>
        <w:jc w:val="center"/>
        <w:tblLook w:val="04A0" w:firstRow="1" w:lastRow="0" w:firstColumn="1" w:lastColumn="0" w:noHBand="0" w:noVBand="1"/>
      </w:tblPr>
      <w:tblGrid>
        <w:gridCol w:w="2988"/>
        <w:gridCol w:w="2430"/>
        <w:gridCol w:w="3258"/>
      </w:tblGrid>
      <w:tr w:rsidR="00FA2538" w:rsidRPr="00937DA6" w14:paraId="6588969E" w14:textId="77777777" w:rsidTr="00AB015B">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8676" w:type="dxa"/>
            <w:gridSpan w:val="3"/>
          </w:tcPr>
          <w:p w14:paraId="31856536" w14:textId="1309A581" w:rsidR="00FA2538" w:rsidRPr="0059070A" w:rsidRDefault="00FA2538" w:rsidP="00BD4F60">
            <w:pPr>
              <w:jc w:val="center"/>
              <w:rPr>
                <w:rFonts w:ascii="Times New Roman" w:hAnsi="Times New Roman" w:cs="Times New Roman"/>
                <w:szCs w:val="24"/>
              </w:rPr>
            </w:pPr>
            <w:r>
              <w:rPr>
                <w:szCs w:val="24"/>
              </w:rPr>
              <w:tab/>
            </w:r>
            <w:r>
              <w:rPr>
                <w:szCs w:val="24"/>
              </w:rPr>
              <w:tab/>
            </w:r>
          </w:p>
        </w:tc>
      </w:tr>
      <w:tr w:rsidR="00FA2538" w:rsidRPr="00937DA6" w14:paraId="681916EA" w14:textId="77777777" w:rsidTr="00AB015B">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988" w:type="dxa"/>
            <w:tcBorders>
              <w:bottom w:val="single" w:sz="8" w:space="0" w:color="FFFFFF" w:themeColor="background1"/>
            </w:tcBorders>
          </w:tcPr>
          <w:p w14:paraId="4407089C" w14:textId="77777777" w:rsidR="00FA2538" w:rsidRPr="0059070A" w:rsidRDefault="00FA2538" w:rsidP="00BD4F60">
            <w:pPr>
              <w:rPr>
                <w:rFonts w:ascii="Times New Roman" w:hAnsi="Times New Roman" w:cs="Times New Roman"/>
                <w:szCs w:val="24"/>
              </w:rPr>
            </w:pPr>
            <w:r w:rsidRPr="0059070A">
              <w:rPr>
                <w:rFonts w:ascii="Times New Roman" w:hAnsi="Times New Roman" w:cs="Times New Roman"/>
                <w:szCs w:val="24"/>
              </w:rPr>
              <w:t>Rate Description</w:t>
            </w:r>
          </w:p>
        </w:tc>
        <w:tc>
          <w:tcPr>
            <w:tcW w:w="2430" w:type="dxa"/>
          </w:tcPr>
          <w:p w14:paraId="5CE22103" w14:textId="601A4D66" w:rsidR="00FA2538" w:rsidRPr="0059070A" w:rsidRDefault="00FA2538" w:rsidP="00BD4F6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4"/>
              </w:rPr>
            </w:pPr>
            <w:r w:rsidRPr="0059070A">
              <w:rPr>
                <w:rFonts w:ascii="Times New Roman" w:hAnsi="Times New Roman" w:cs="Times New Roman"/>
                <w:szCs w:val="24"/>
              </w:rPr>
              <w:t>201</w:t>
            </w:r>
            <w:r w:rsidR="007350AF">
              <w:rPr>
                <w:rFonts w:ascii="Times New Roman" w:hAnsi="Times New Roman" w:cs="Times New Roman"/>
                <w:szCs w:val="24"/>
              </w:rPr>
              <w:t>8</w:t>
            </w:r>
            <w:r w:rsidRPr="0059070A">
              <w:rPr>
                <w:rFonts w:ascii="Times New Roman" w:hAnsi="Times New Roman" w:cs="Times New Roman"/>
                <w:szCs w:val="24"/>
              </w:rPr>
              <w:t>/1</w:t>
            </w:r>
            <w:r w:rsidR="007350AF">
              <w:rPr>
                <w:rFonts w:ascii="Times New Roman" w:hAnsi="Times New Roman" w:cs="Times New Roman"/>
                <w:szCs w:val="24"/>
              </w:rPr>
              <w:t>9</w:t>
            </w:r>
          </w:p>
        </w:tc>
        <w:tc>
          <w:tcPr>
            <w:tcW w:w="3258" w:type="dxa"/>
          </w:tcPr>
          <w:p w14:paraId="6A194FD9" w14:textId="3526C37A" w:rsidR="00FA2538" w:rsidRPr="0059070A" w:rsidRDefault="00FA2538" w:rsidP="00BD4F6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4"/>
              </w:rPr>
            </w:pPr>
            <w:r w:rsidRPr="0059070A">
              <w:rPr>
                <w:rFonts w:ascii="Times New Roman" w:hAnsi="Times New Roman" w:cs="Times New Roman"/>
                <w:szCs w:val="24"/>
              </w:rPr>
              <w:t>201</w:t>
            </w:r>
            <w:r w:rsidR="007350AF">
              <w:rPr>
                <w:rFonts w:ascii="Times New Roman" w:hAnsi="Times New Roman" w:cs="Times New Roman"/>
                <w:szCs w:val="24"/>
              </w:rPr>
              <w:t>9</w:t>
            </w:r>
            <w:r w:rsidRPr="0059070A">
              <w:rPr>
                <w:rFonts w:ascii="Times New Roman" w:hAnsi="Times New Roman" w:cs="Times New Roman"/>
                <w:szCs w:val="24"/>
              </w:rPr>
              <w:t>/</w:t>
            </w:r>
            <w:r w:rsidR="007350AF">
              <w:rPr>
                <w:rFonts w:ascii="Times New Roman" w:hAnsi="Times New Roman" w:cs="Times New Roman"/>
                <w:szCs w:val="24"/>
              </w:rPr>
              <w:t>20</w:t>
            </w:r>
            <w:r w:rsidRPr="0059070A">
              <w:rPr>
                <w:rFonts w:ascii="Times New Roman" w:hAnsi="Times New Roman" w:cs="Times New Roman"/>
                <w:szCs w:val="24"/>
              </w:rPr>
              <w:t xml:space="preserve"> Adopted</w:t>
            </w:r>
          </w:p>
        </w:tc>
      </w:tr>
      <w:tr w:rsidR="00FA2538" w:rsidRPr="00937DA6" w14:paraId="2E62D3F3" w14:textId="77777777" w:rsidTr="00BD4F60">
        <w:trPr>
          <w:cnfStyle w:val="000000100000" w:firstRow="0" w:lastRow="0" w:firstColumn="0" w:lastColumn="0" w:oddVBand="0" w:evenVBand="0" w:oddHBand="1" w:evenHBand="0" w:firstRowFirstColumn="0" w:firstRowLastColumn="0" w:lastRowFirstColumn="0" w:lastRowLastColumn="0"/>
          <w:trHeight w:val="385"/>
          <w:jc w:val="center"/>
        </w:trPr>
        <w:tc>
          <w:tcPr>
            <w:cnfStyle w:val="001000000000" w:firstRow="0" w:lastRow="0" w:firstColumn="1" w:lastColumn="0" w:oddVBand="0" w:evenVBand="0" w:oddHBand="0" w:evenHBand="0" w:firstRowFirstColumn="0" w:firstRowLastColumn="0" w:lastRowFirstColumn="0" w:lastRowLastColumn="0"/>
            <w:tcW w:w="2988" w:type="dxa"/>
            <w:tcBorders>
              <w:top w:val="single" w:sz="8" w:space="0" w:color="FFFFFF" w:themeColor="background1"/>
              <w:bottom w:val="single" w:sz="8" w:space="0" w:color="FFFFFF" w:themeColor="background1"/>
            </w:tcBorders>
          </w:tcPr>
          <w:p w14:paraId="2590FC1B" w14:textId="77777777" w:rsidR="00FA2538" w:rsidRPr="0059070A" w:rsidRDefault="00FA2538" w:rsidP="00BD4F60">
            <w:pPr>
              <w:rPr>
                <w:rFonts w:ascii="Times New Roman" w:hAnsi="Times New Roman" w:cs="Times New Roman"/>
                <w:szCs w:val="24"/>
              </w:rPr>
            </w:pPr>
            <w:r w:rsidRPr="0059070A">
              <w:rPr>
                <w:rFonts w:ascii="Times New Roman" w:hAnsi="Times New Roman" w:cs="Times New Roman"/>
                <w:szCs w:val="24"/>
              </w:rPr>
              <w:t>North System</w:t>
            </w:r>
          </w:p>
        </w:tc>
        <w:tc>
          <w:tcPr>
            <w:tcW w:w="2430" w:type="dxa"/>
          </w:tcPr>
          <w:p w14:paraId="46245D44" w14:textId="520DECEB" w:rsidR="00FA2538" w:rsidRPr="0059070A" w:rsidRDefault="00FA2538" w:rsidP="00BD4F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9070A">
              <w:rPr>
                <w:rFonts w:ascii="Times New Roman" w:hAnsi="Times New Roman" w:cs="Times New Roman"/>
                <w:szCs w:val="24"/>
              </w:rPr>
              <w:t>1</w:t>
            </w:r>
            <w:r w:rsidR="007350AF">
              <w:rPr>
                <w:rFonts w:ascii="Times New Roman" w:hAnsi="Times New Roman" w:cs="Times New Roman"/>
                <w:szCs w:val="24"/>
              </w:rPr>
              <w:t>4</w:t>
            </w:r>
            <w:r w:rsidRPr="0059070A">
              <w:rPr>
                <w:rFonts w:ascii="Times New Roman" w:hAnsi="Times New Roman" w:cs="Times New Roman"/>
                <w:szCs w:val="24"/>
              </w:rPr>
              <w:t>,</w:t>
            </w:r>
            <w:r w:rsidR="007350AF">
              <w:rPr>
                <w:rFonts w:ascii="Times New Roman" w:hAnsi="Times New Roman" w:cs="Times New Roman"/>
                <w:szCs w:val="24"/>
              </w:rPr>
              <w:t>258</w:t>
            </w:r>
            <w:r w:rsidRPr="0059070A">
              <w:rPr>
                <w:rFonts w:ascii="Times New Roman" w:hAnsi="Times New Roman" w:cs="Times New Roman"/>
                <w:szCs w:val="24"/>
              </w:rPr>
              <w:t xml:space="preserve"> CU</w:t>
            </w:r>
          </w:p>
        </w:tc>
        <w:tc>
          <w:tcPr>
            <w:tcW w:w="3258" w:type="dxa"/>
          </w:tcPr>
          <w:p w14:paraId="7C1AE226" w14:textId="469C99AB" w:rsidR="00FA2538" w:rsidRPr="0059070A" w:rsidRDefault="00FA2538" w:rsidP="00BD4F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Cs w:val="24"/>
              </w:rPr>
            </w:pPr>
            <w:r w:rsidRPr="0059070A">
              <w:rPr>
                <w:rFonts w:ascii="Times New Roman" w:hAnsi="Times New Roman" w:cs="Times New Roman"/>
                <w:szCs w:val="24"/>
              </w:rPr>
              <w:t>14,</w:t>
            </w:r>
            <w:r w:rsidR="007350AF">
              <w:rPr>
                <w:rFonts w:ascii="Times New Roman" w:hAnsi="Times New Roman" w:cs="Times New Roman"/>
                <w:szCs w:val="24"/>
              </w:rPr>
              <w:t>005</w:t>
            </w:r>
            <w:r w:rsidRPr="0059070A">
              <w:rPr>
                <w:rFonts w:ascii="Times New Roman" w:hAnsi="Times New Roman" w:cs="Times New Roman"/>
                <w:szCs w:val="24"/>
              </w:rPr>
              <w:t xml:space="preserve"> CU</w:t>
            </w:r>
          </w:p>
        </w:tc>
      </w:tr>
      <w:tr w:rsidR="00FA2538" w:rsidRPr="00937DA6" w14:paraId="323727A6" w14:textId="77777777" w:rsidTr="00BD4F60">
        <w:trPr>
          <w:jc w:val="center"/>
        </w:trPr>
        <w:tc>
          <w:tcPr>
            <w:cnfStyle w:val="001000000000" w:firstRow="0" w:lastRow="0" w:firstColumn="1" w:lastColumn="0" w:oddVBand="0" w:evenVBand="0" w:oddHBand="0" w:evenHBand="0" w:firstRowFirstColumn="0" w:firstRowLastColumn="0" w:lastRowFirstColumn="0" w:lastRowLastColumn="0"/>
            <w:tcW w:w="2988" w:type="dxa"/>
            <w:tcBorders>
              <w:bottom w:val="single" w:sz="8" w:space="0" w:color="FFFFFF" w:themeColor="background1"/>
            </w:tcBorders>
          </w:tcPr>
          <w:p w14:paraId="2069ECC4" w14:textId="77777777" w:rsidR="00FA2538" w:rsidRPr="0059070A" w:rsidRDefault="00FA2538" w:rsidP="00BD4F60">
            <w:pPr>
              <w:rPr>
                <w:rFonts w:ascii="Times New Roman" w:hAnsi="Times New Roman" w:cs="Times New Roman"/>
                <w:szCs w:val="24"/>
              </w:rPr>
            </w:pPr>
            <w:r w:rsidRPr="0059070A">
              <w:rPr>
                <w:rFonts w:ascii="Times New Roman" w:hAnsi="Times New Roman" w:cs="Times New Roman"/>
                <w:szCs w:val="24"/>
              </w:rPr>
              <w:t xml:space="preserve">     Flow/mg</w:t>
            </w:r>
          </w:p>
        </w:tc>
        <w:tc>
          <w:tcPr>
            <w:tcW w:w="2430" w:type="dxa"/>
          </w:tcPr>
          <w:p w14:paraId="1AACECBA" w14:textId="622A8F20" w:rsidR="00FA2538" w:rsidRPr="0059070A" w:rsidRDefault="00FA2538" w:rsidP="00BD4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9070A">
              <w:rPr>
                <w:rFonts w:ascii="Times New Roman" w:hAnsi="Times New Roman" w:cs="Times New Roman"/>
                <w:szCs w:val="24"/>
              </w:rPr>
              <w:t>$91</w:t>
            </w:r>
            <w:r w:rsidR="007350AF">
              <w:rPr>
                <w:rFonts w:ascii="Times New Roman" w:hAnsi="Times New Roman" w:cs="Times New Roman"/>
                <w:szCs w:val="24"/>
              </w:rPr>
              <w:t>2</w:t>
            </w:r>
          </w:p>
        </w:tc>
        <w:tc>
          <w:tcPr>
            <w:tcW w:w="3258" w:type="dxa"/>
          </w:tcPr>
          <w:p w14:paraId="77026705" w14:textId="14475D52" w:rsidR="00FA2538" w:rsidRPr="0059070A" w:rsidRDefault="00FA2538" w:rsidP="00BD4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r w:rsidRPr="0059070A">
              <w:rPr>
                <w:rFonts w:ascii="Times New Roman" w:hAnsi="Times New Roman" w:cs="Times New Roman"/>
                <w:b/>
                <w:szCs w:val="24"/>
              </w:rPr>
              <w:t>$9</w:t>
            </w:r>
            <w:r w:rsidR="007350AF">
              <w:rPr>
                <w:rFonts w:ascii="Times New Roman" w:hAnsi="Times New Roman" w:cs="Times New Roman"/>
                <w:b/>
                <w:szCs w:val="24"/>
              </w:rPr>
              <w:t>40</w:t>
            </w:r>
          </w:p>
        </w:tc>
      </w:tr>
      <w:tr w:rsidR="00FA2538" w:rsidRPr="00937DA6" w14:paraId="09203596" w14:textId="77777777" w:rsidTr="00BD4F6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88" w:type="dxa"/>
            <w:tcBorders>
              <w:top w:val="single" w:sz="8" w:space="0" w:color="FFFFFF" w:themeColor="background1"/>
              <w:bottom w:val="single" w:sz="8" w:space="0" w:color="FFFFFF" w:themeColor="background1"/>
            </w:tcBorders>
          </w:tcPr>
          <w:p w14:paraId="08F8D676" w14:textId="77777777" w:rsidR="00FA2538" w:rsidRPr="0059070A" w:rsidRDefault="00FA2538" w:rsidP="00BD4F60">
            <w:pPr>
              <w:rPr>
                <w:rFonts w:ascii="Times New Roman" w:hAnsi="Times New Roman" w:cs="Times New Roman"/>
                <w:szCs w:val="24"/>
              </w:rPr>
            </w:pPr>
            <w:r w:rsidRPr="0059070A">
              <w:rPr>
                <w:rFonts w:ascii="Times New Roman" w:hAnsi="Times New Roman" w:cs="Times New Roman"/>
                <w:szCs w:val="24"/>
              </w:rPr>
              <w:t xml:space="preserve">     COD/klb</w:t>
            </w:r>
          </w:p>
        </w:tc>
        <w:tc>
          <w:tcPr>
            <w:tcW w:w="2430" w:type="dxa"/>
          </w:tcPr>
          <w:p w14:paraId="4D482776" w14:textId="3E611EB0" w:rsidR="00FA2538" w:rsidRPr="0059070A" w:rsidRDefault="00FA2538" w:rsidP="00BD4F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9070A">
              <w:rPr>
                <w:rFonts w:ascii="Times New Roman" w:hAnsi="Times New Roman" w:cs="Times New Roman"/>
                <w:szCs w:val="24"/>
              </w:rPr>
              <w:t>$1</w:t>
            </w:r>
            <w:r w:rsidR="00F315EE">
              <w:rPr>
                <w:rFonts w:ascii="Times New Roman" w:hAnsi="Times New Roman" w:cs="Times New Roman"/>
                <w:szCs w:val="24"/>
              </w:rPr>
              <w:t>61</w:t>
            </w:r>
          </w:p>
        </w:tc>
        <w:tc>
          <w:tcPr>
            <w:tcW w:w="3258" w:type="dxa"/>
          </w:tcPr>
          <w:p w14:paraId="641EB55A" w14:textId="5A483D57" w:rsidR="00FA2538" w:rsidRPr="0059070A" w:rsidRDefault="00FA2538" w:rsidP="00BD4F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r w:rsidRPr="0059070A">
              <w:rPr>
                <w:rFonts w:ascii="Times New Roman" w:hAnsi="Times New Roman" w:cs="Times New Roman"/>
                <w:b/>
                <w:szCs w:val="24"/>
              </w:rPr>
              <w:t>$1</w:t>
            </w:r>
            <w:r w:rsidR="007350AF">
              <w:rPr>
                <w:rFonts w:ascii="Times New Roman" w:hAnsi="Times New Roman" w:cs="Times New Roman"/>
                <w:b/>
                <w:szCs w:val="24"/>
              </w:rPr>
              <w:t>66</w:t>
            </w:r>
          </w:p>
        </w:tc>
      </w:tr>
      <w:tr w:rsidR="00FA2538" w:rsidRPr="00937DA6" w14:paraId="6C90FF83" w14:textId="77777777" w:rsidTr="00BD4F60">
        <w:trPr>
          <w:jc w:val="center"/>
        </w:trPr>
        <w:tc>
          <w:tcPr>
            <w:cnfStyle w:val="001000000000" w:firstRow="0" w:lastRow="0" w:firstColumn="1" w:lastColumn="0" w:oddVBand="0" w:evenVBand="0" w:oddHBand="0" w:evenHBand="0" w:firstRowFirstColumn="0" w:firstRowLastColumn="0" w:lastRowFirstColumn="0" w:lastRowLastColumn="0"/>
            <w:tcW w:w="2988" w:type="dxa"/>
            <w:tcBorders>
              <w:bottom w:val="single" w:sz="8" w:space="0" w:color="FFFFFF" w:themeColor="background1"/>
            </w:tcBorders>
          </w:tcPr>
          <w:p w14:paraId="33B46095" w14:textId="77777777" w:rsidR="00FA2538" w:rsidRPr="0059070A" w:rsidRDefault="00FA2538" w:rsidP="00BD4F60">
            <w:pPr>
              <w:rPr>
                <w:rFonts w:ascii="Times New Roman" w:hAnsi="Times New Roman" w:cs="Times New Roman"/>
                <w:szCs w:val="24"/>
              </w:rPr>
            </w:pPr>
            <w:r w:rsidRPr="0059070A">
              <w:rPr>
                <w:rFonts w:ascii="Times New Roman" w:hAnsi="Times New Roman" w:cs="Times New Roman"/>
                <w:szCs w:val="24"/>
              </w:rPr>
              <w:t xml:space="preserve">     TSS/klb</w:t>
            </w:r>
          </w:p>
        </w:tc>
        <w:tc>
          <w:tcPr>
            <w:tcW w:w="2430" w:type="dxa"/>
          </w:tcPr>
          <w:p w14:paraId="29EA0A99" w14:textId="57CBA38B" w:rsidR="00FA2538" w:rsidRPr="0059070A" w:rsidRDefault="00FA2538" w:rsidP="00BD4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9070A">
              <w:rPr>
                <w:rFonts w:ascii="Times New Roman" w:hAnsi="Times New Roman" w:cs="Times New Roman"/>
                <w:szCs w:val="24"/>
              </w:rPr>
              <w:t>$4</w:t>
            </w:r>
            <w:r w:rsidR="00F315EE">
              <w:rPr>
                <w:rFonts w:ascii="Times New Roman" w:hAnsi="Times New Roman" w:cs="Times New Roman"/>
                <w:szCs w:val="24"/>
              </w:rPr>
              <w:t>5</w:t>
            </w:r>
            <w:r w:rsidRPr="0059070A">
              <w:rPr>
                <w:rFonts w:ascii="Times New Roman" w:hAnsi="Times New Roman" w:cs="Times New Roman"/>
                <w:szCs w:val="24"/>
              </w:rPr>
              <w:t>6</w:t>
            </w:r>
          </w:p>
        </w:tc>
        <w:tc>
          <w:tcPr>
            <w:tcW w:w="3258" w:type="dxa"/>
          </w:tcPr>
          <w:p w14:paraId="12A55A97" w14:textId="1CA40007" w:rsidR="00FA2538" w:rsidRPr="0059070A" w:rsidRDefault="00FA2538" w:rsidP="00BD4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r w:rsidRPr="0059070A">
              <w:rPr>
                <w:rFonts w:ascii="Times New Roman" w:hAnsi="Times New Roman" w:cs="Times New Roman"/>
                <w:b/>
                <w:szCs w:val="24"/>
              </w:rPr>
              <w:t>$</w:t>
            </w:r>
            <w:r w:rsidR="007350AF">
              <w:rPr>
                <w:rFonts w:ascii="Times New Roman" w:hAnsi="Times New Roman" w:cs="Times New Roman"/>
                <w:b/>
                <w:szCs w:val="24"/>
              </w:rPr>
              <w:t>470</w:t>
            </w:r>
          </w:p>
        </w:tc>
      </w:tr>
      <w:tr w:rsidR="00FA2538" w:rsidRPr="00937DA6" w14:paraId="1C808868" w14:textId="77777777" w:rsidTr="00BD4F6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88" w:type="dxa"/>
            <w:tcBorders>
              <w:top w:val="single" w:sz="8" w:space="0" w:color="FFFFFF" w:themeColor="background1"/>
              <w:bottom w:val="single" w:sz="8" w:space="0" w:color="FFFFFF" w:themeColor="background1"/>
            </w:tcBorders>
          </w:tcPr>
          <w:p w14:paraId="11A72853" w14:textId="77777777" w:rsidR="00FA2538" w:rsidRPr="0059070A" w:rsidRDefault="00FA2538" w:rsidP="00BD4F60">
            <w:pPr>
              <w:rPr>
                <w:rFonts w:ascii="Times New Roman" w:hAnsi="Times New Roman" w:cs="Times New Roman"/>
                <w:szCs w:val="24"/>
              </w:rPr>
            </w:pPr>
            <w:r w:rsidRPr="0059070A">
              <w:rPr>
                <w:rFonts w:ascii="Times New Roman" w:hAnsi="Times New Roman" w:cs="Times New Roman"/>
                <w:szCs w:val="24"/>
              </w:rPr>
              <w:t xml:space="preserve">     Peak/gpm</w:t>
            </w:r>
          </w:p>
        </w:tc>
        <w:tc>
          <w:tcPr>
            <w:tcW w:w="2430" w:type="dxa"/>
          </w:tcPr>
          <w:p w14:paraId="54C2A2A3" w14:textId="5D9415AD" w:rsidR="00FA2538" w:rsidRPr="0059070A" w:rsidRDefault="00FA2538" w:rsidP="00BD4F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9070A">
              <w:rPr>
                <w:rFonts w:ascii="Times New Roman" w:hAnsi="Times New Roman" w:cs="Times New Roman"/>
                <w:szCs w:val="24"/>
              </w:rPr>
              <w:t>$34</w:t>
            </w:r>
            <w:r w:rsidR="00F315EE">
              <w:rPr>
                <w:rFonts w:ascii="Times New Roman" w:hAnsi="Times New Roman" w:cs="Times New Roman"/>
                <w:szCs w:val="24"/>
              </w:rPr>
              <w:t>6</w:t>
            </w:r>
          </w:p>
        </w:tc>
        <w:tc>
          <w:tcPr>
            <w:tcW w:w="3258" w:type="dxa"/>
          </w:tcPr>
          <w:p w14:paraId="49E620AE" w14:textId="21229156" w:rsidR="00FA2538" w:rsidRPr="0059070A" w:rsidRDefault="00FA2538" w:rsidP="00BD4F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r w:rsidRPr="0059070A">
              <w:rPr>
                <w:rFonts w:ascii="Times New Roman" w:hAnsi="Times New Roman" w:cs="Times New Roman"/>
                <w:b/>
                <w:szCs w:val="24"/>
              </w:rPr>
              <w:t>$</w:t>
            </w:r>
            <w:r w:rsidR="007350AF">
              <w:rPr>
                <w:rFonts w:ascii="Times New Roman" w:hAnsi="Times New Roman" w:cs="Times New Roman"/>
                <w:b/>
                <w:szCs w:val="24"/>
              </w:rPr>
              <w:t>357</w:t>
            </w:r>
          </w:p>
        </w:tc>
      </w:tr>
      <w:tr w:rsidR="00FA2538" w:rsidRPr="00937DA6" w14:paraId="6333886E" w14:textId="77777777" w:rsidTr="00BD4F60">
        <w:trPr>
          <w:jc w:val="center"/>
        </w:trPr>
        <w:tc>
          <w:tcPr>
            <w:cnfStyle w:val="001000000000" w:firstRow="0" w:lastRow="0" w:firstColumn="1" w:lastColumn="0" w:oddVBand="0" w:evenVBand="0" w:oddHBand="0" w:evenHBand="0" w:firstRowFirstColumn="0" w:firstRowLastColumn="0" w:lastRowFirstColumn="0" w:lastRowLastColumn="0"/>
            <w:tcW w:w="2988" w:type="dxa"/>
            <w:tcBorders>
              <w:bottom w:val="single" w:sz="8" w:space="0" w:color="FFFFFF" w:themeColor="background1"/>
            </w:tcBorders>
          </w:tcPr>
          <w:p w14:paraId="09FDC56B" w14:textId="77777777" w:rsidR="00FA2538" w:rsidRPr="0059070A" w:rsidRDefault="00FA2538" w:rsidP="00BD4F60">
            <w:pPr>
              <w:rPr>
                <w:rFonts w:ascii="Times New Roman" w:hAnsi="Times New Roman" w:cs="Times New Roman"/>
                <w:szCs w:val="24"/>
              </w:rPr>
            </w:pPr>
            <w:r w:rsidRPr="0059070A">
              <w:rPr>
                <w:rFonts w:ascii="Times New Roman" w:hAnsi="Times New Roman" w:cs="Times New Roman"/>
                <w:szCs w:val="24"/>
              </w:rPr>
              <w:t xml:space="preserve">     CU Purchase</w:t>
            </w:r>
          </w:p>
        </w:tc>
        <w:tc>
          <w:tcPr>
            <w:tcW w:w="2430" w:type="dxa"/>
          </w:tcPr>
          <w:p w14:paraId="678B3FDC" w14:textId="77777777" w:rsidR="00FA2538" w:rsidRPr="0059070A" w:rsidRDefault="00FA2538" w:rsidP="00BD4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9070A">
              <w:rPr>
                <w:rFonts w:ascii="Times New Roman" w:hAnsi="Times New Roman" w:cs="Times New Roman"/>
                <w:szCs w:val="24"/>
              </w:rPr>
              <w:t>$4,172</w:t>
            </w:r>
          </w:p>
        </w:tc>
        <w:tc>
          <w:tcPr>
            <w:tcW w:w="3258" w:type="dxa"/>
          </w:tcPr>
          <w:p w14:paraId="641DB848" w14:textId="77777777" w:rsidR="00FA2538" w:rsidRPr="0059070A" w:rsidRDefault="00FA2538" w:rsidP="00BD4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r w:rsidRPr="0059070A">
              <w:rPr>
                <w:rFonts w:ascii="Times New Roman" w:hAnsi="Times New Roman" w:cs="Times New Roman"/>
                <w:b/>
                <w:szCs w:val="24"/>
              </w:rPr>
              <w:t>$4,</w:t>
            </w:r>
            <w:r>
              <w:rPr>
                <w:rFonts w:ascii="Times New Roman" w:hAnsi="Times New Roman" w:cs="Times New Roman"/>
                <w:b/>
                <w:szCs w:val="24"/>
              </w:rPr>
              <w:t>172</w:t>
            </w:r>
          </w:p>
        </w:tc>
      </w:tr>
      <w:tr w:rsidR="00FA2538" w:rsidRPr="00937DA6" w14:paraId="07EBCA23" w14:textId="77777777" w:rsidTr="00BD4F6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88" w:type="dxa"/>
            <w:tcBorders>
              <w:bottom w:val="single" w:sz="8" w:space="0" w:color="FFFFFF" w:themeColor="background1"/>
            </w:tcBorders>
          </w:tcPr>
          <w:p w14:paraId="4B05E1D7" w14:textId="77777777" w:rsidR="00FA2538" w:rsidRPr="0059070A" w:rsidRDefault="00FA2538" w:rsidP="00BD4F60">
            <w:pPr>
              <w:rPr>
                <w:rFonts w:ascii="Times New Roman" w:hAnsi="Times New Roman" w:cs="Times New Roman"/>
                <w:szCs w:val="24"/>
              </w:rPr>
            </w:pPr>
            <w:r w:rsidRPr="0059070A">
              <w:rPr>
                <w:rFonts w:ascii="Times New Roman" w:hAnsi="Times New Roman" w:cs="Times New Roman"/>
                <w:szCs w:val="24"/>
              </w:rPr>
              <w:t xml:space="preserve">     CU Lease</w:t>
            </w:r>
          </w:p>
        </w:tc>
        <w:tc>
          <w:tcPr>
            <w:tcW w:w="2430" w:type="dxa"/>
          </w:tcPr>
          <w:p w14:paraId="3BB5D4F0" w14:textId="77777777" w:rsidR="00FA2538" w:rsidRPr="0059070A" w:rsidRDefault="00FA2538" w:rsidP="00BD4F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9070A">
              <w:rPr>
                <w:rFonts w:ascii="Times New Roman" w:hAnsi="Times New Roman" w:cs="Times New Roman"/>
                <w:szCs w:val="24"/>
              </w:rPr>
              <w:t>$208.60/CU/Yr.</w:t>
            </w:r>
          </w:p>
        </w:tc>
        <w:tc>
          <w:tcPr>
            <w:tcW w:w="3258" w:type="dxa"/>
          </w:tcPr>
          <w:p w14:paraId="49B6E13D" w14:textId="77777777" w:rsidR="00FA2538" w:rsidRPr="0059070A" w:rsidRDefault="00FA2538" w:rsidP="00BD4F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r w:rsidRPr="0059070A">
              <w:rPr>
                <w:rFonts w:ascii="Times New Roman" w:hAnsi="Times New Roman" w:cs="Times New Roman"/>
                <w:b/>
                <w:szCs w:val="24"/>
              </w:rPr>
              <w:t>$2</w:t>
            </w:r>
            <w:r>
              <w:rPr>
                <w:rFonts w:ascii="Times New Roman" w:hAnsi="Times New Roman" w:cs="Times New Roman"/>
                <w:b/>
                <w:szCs w:val="24"/>
              </w:rPr>
              <w:t>08.60</w:t>
            </w:r>
            <w:r w:rsidRPr="0059070A">
              <w:rPr>
                <w:rFonts w:ascii="Times New Roman" w:hAnsi="Times New Roman" w:cs="Times New Roman"/>
                <w:b/>
                <w:szCs w:val="24"/>
              </w:rPr>
              <w:t>/CU/Yr.</w:t>
            </w:r>
          </w:p>
        </w:tc>
      </w:tr>
      <w:tr w:rsidR="00FA2538" w:rsidRPr="00937DA6" w14:paraId="0AF1CA1C" w14:textId="77777777" w:rsidTr="00AB015B">
        <w:trPr>
          <w:trHeight w:val="97"/>
          <w:jc w:val="center"/>
        </w:trPr>
        <w:tc>
          <w:tcPr>
            <w:cnfStyle w:val="001000000000" w:firstRow="0" w:lastRow="0" w:firstColumn="1" w:lastColumn="0" w:oddVBand="0" w:evenVBand="0" w:oddHBand="0" w:evenHBand="0" w:firstRowFirstColumn="0" w:firstRowLastColumn="0" w:lastRowFirstColumn="0" w:lastRowLastColumn="0"/>
            <w:tcW w:w="2988" w:type="dxa"/>
            <w:tcBorders>
              <w:bottom w:val="single" w:sz="8" w:space="0" w:color="FFFFFF" w:themeColor="background1"/>
            </w:tcBorders>
          </w:tcPr>
          <w:p w14:paraId="7BB6668B" w14:textId="77777777" w:rsidR="00FA2538" w:rsidRPr="0059070A" w:rsidRDefault="00FA2538" w:rsidP="00BD4F60">
            <w:pPr>
              <w:rPr>
                <w:rFonts w:ascii="Times New Roman" w:hAnsi="Times New Roman" w:cs="Times New Roman"/>
                <w:szCs w:val="24"/>
              </w:rPr>
            </w:pPr>
          </w:p>
        </w:tc>
        <w:tc>
          <w:tcPr>
            <w:tcW w:w="2430" w:type="dxa"/>
          </w:tcPr>
          <w:p w14:paraId="1F88EDCA" w14:textId="77777777" w:rsidR="00FA2538" w:rsidRPr="0059070A" w:rsidRDefault="00FA2538" w:rsidP="00BD4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3258" w:type="dxa"/>
          </w:tcPr>
          <w:p w14:paraId="63172BA2" w14:textId="77777777" w:rsidR="00FA2538" w:rsidRPr="0059070A" w:rsidRDefault="00FA2538" w:rsidP="00BD4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p>
        </w:tc>
      </w:tr>
      <w:tr w:rsidR="00FA2538" w:rsidRPr="00937DA6" w14:paraId="53C6F57E" w14:textId="77777777" w:rsidTr="00BD4F60">
        <w:trPr>
          <w:cnfStyle w:val="000000100000" w:firstRow="0" w:lastRow="0" w:firstColumn="0" w:lastColumn="0" w:oddVBand="0" w:evenVBand="0" w:oddHBand="1" w:evenHBand="0" w:firstRowFirstColumn="0" w:firstRowLastColumn="0" w:lastRowFirstColumn="0" w:lastRowLastColumn="0"/>
          <w:trHeight w:val="322"/>
          <w:jc w:val="center"/>
        </w:trPr>
        <w:tc>
          <w:tcPr>
            <w:cnfStyle w:val="001000000000" w:firstRow="0" w:lastRow="0" w:firstColumn="1" w:lastColumn="0" w:oddVBand="0" w:evenVBand="0" w:oddHBand="0" w:evenHBand="0" w:firstRowFirstColumn="0" w:firstRowLastColumn="0" w:lastRowFirstColumn="0" w:lastRowLastColumn="0"/>
            <w:tcW w:w="2988" w:type="dxa"/>
            <w:tcBorders>
              <w:bottom w:val="single" w:sz="8" w:space="0" w:color="FFFFFF" w:themeColor="background1"/>
            </w:tcBorders>
          </w:tcPr>
          <w:p w14:paraId="78E348FE" w14:textId="77777777" w:rsidR="00FA2538" w:rsidRPr="0059070A" w:rsidRDefault="00FA2538" w:rsidP="00BD4F60">
            <w:pPr>
              <w:rPr>
                <w:rFonts w:ascii="Times New Roman" w:hAnsi="Times New Roman" w:cs="Times New Roman"/>
                <w:szCs w:val="24"/>
              </w:rPr>
            </w:pPr>
            <w:r w:rsidRPr="0059070A">
              <w:rPr>
                <w:rFonts w:ascii="Times New Roman" w:hAnsi="Times New Roman" w:cs="Times New Roman"/>
                <w:szCs w:val="24"/>
              </w:rPr>
              <w:t>South System</w:t>
            </w:r>
          </w:p>
        </w:tc>
        <w:tc>
          <w:tcPr>
            <w:tcW w:w="2430" w:type="dxa"/>
          </w:tcPr>
          <w:p w14:paraId="42743AA6" w14:textId="77777777" w:rsidR="00FA2538" w:rsidRPr="0059070A" w:rsidRDefault="00FA2538" w:rsidP="00BD4F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3258" w:type="dxa"/>
          </w:tcPr>
          <w:p w14:paraId="7FFACE3D" w14:textId="77777777" w:rsidR="00FA2538" w:rsidRPr="0059070A" w:rsidRDefault="00FA2538" w:rsidP="00BD4F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r>
      <w:tr w:rsidR="00FA2538" w:rsidRPr="00937DA6" w14:paraId="1E64110C" w14:textId="77777777" w:rsidTr="00BD4F60">
        <w:trPr>
          <w:jc w:val="center"/>
        </w:trPr>
        <w:tc>
          <w:tcPr>
            <w:cnfStyle w:val="001000000000" w:firstRow="0" w:lastRow="0" w:firstColumn="1" w:lastColumn="0" w:oddVBand="0" w:evenVBand="0" w:oddHBand="0" w:evenHBand="0" w:firstRowFirstColumn="0" w:firstRowLastColumn="0" w:lastRowFirstColumn="0" w:lastRowLastColumn="0"/>
            <w:tcW w:w="2988" w:type="dxa"/>
            <w:tcBorders>
              <w:bottom w:val="single" w:sz="8" w:space="0" w:color="FFFFFF" w:themeColor="background1"/>
            </w:tcBorders>
          </w:tcPr>
          <w:p w14:paraId="12C4BC04" w14:textId="77777777" w:rsidR="00FA2538" w:rsidRPr="0059070A" w:rsidRDefault="00FA2538" w:rsidP="00BD4F60">
            <w:pPr>
              <w:rPr>
                <w:rFonts w:ascii="Times New Roman" w:hAnsi="Times New Roman" w:cs="Times New Roman"/>
                <w:szCs w:val="24"/>
              </w:rPr>
            </w:pPr>
            <w:r w:rsidRPr="0059070A">
              <w:rPr>
                <w:rFonts w:ascii="Times New Roman" w:hAnsi="Times New Roman" w:cs="Times New Roman"/>
                <w:szCs w:val="24"/>
              </w:rPr>
              <w:t xml:space="preserve">     Capacity/cu</w:t>
            </w:r>
          </w:p>
        </w:tc>
        <w:tc>
          <w:tcPr>
            <w:tcW w:w="2430" w:type="dxa"/>
          </w:tcPr>
          <w:p w14:paraId="206DA5BE" w14:textId="5FC7A7D3" w:rsidR="00FA2538" w:rsidRPr="0059070A" w:rsidRDefault="00FA2538" w:rsidP="00BD4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9070A">
              <w:rPr>
                <w:rFonts w:ascii="Times New Roman" w:hAnsi="Times New Roman" w:cs="Times New Roman"/>
                <w:szCs w:val="24"/>
              </w:rPr>
              <w:t>$</w:t>
            </w:r>
            <w:r w:rsidR="00F315EE">
              <w:rPr>
                <w:rFonts w:ascii="Times New Roman" w:hAnsi="Times New Roman" w:cs="Times New Roman"/>
                <w:szCs w:val="24"/>
              </w:rPr>
              <w:t>406</w:t>
            </w:r>
            <w:r w:rsidRPr="0059070A">
              <w:rPr>
                <w:rFonts w:ascii="Times New Roman" w:hAnsi="Times New Roman" w:cs="Times New Roman"/>
                <w:szCs w:val="24"/>
              </w:rPr>
              <w:t>.</w:t>
            </w:r>
            <w:r w:rsidR="00F315EE">
              <w:rPr>
                <w:rFonts w:ascii="Times New Roman" w:hAnsi="Times New Roman" w:cs="Times New Roman"/>
                <w:szCs w:val="24"/>
              </w:rPr>
              <w:t>60</w:t>
            </w:r>
          </w:p>
        </w:tc>
        <w:tc>
          <w:tcPr>
            <w:tcW w:w="3258" w:type="dxa"/>
          </w:tcPr>
          <w:p w14:paraId="297C3E05" w14:textId="7A597191" w:rsidR="00FA2538" w:rsidRPr="0059070A" w:rsidRDefault="00FA2538" w:rsidP="00BD4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r w:rsidRPr="0059070A">
              <w:rPr>
                <w:rFonts w:ascii="Times New Roman" w:hAnsi="Times New Roman" w:cs="Times New Roman"/>
                <w:b/>
                <w:szCs w:val="24"/>
              </w:rPr>
              <w:t>$</w:t>
            </w:r>
            <w:r w:rsidR="007350AF">
              <w:rPr>
                <w:rFonts w:ascii="Times New Roman" w:hAnsi="Times New Roman" w:cs="Times New Roman"/>
                <w:b/>
                <w:szCs w:val="24"/>
              </w:rPr>
              <w:t>418</w:t>
            </w:r>
            <w:r w:rsidRPr="0059070A">
              <w:rPr>
                <w:rFonts w:ascii="Times New Roman" w:hAnsi="Times New Roman" w:cs="Times New Roman"/>
                <w:b/>
                <w:szCs w:val="24"/>
              </w:rPr>
              <w:t>.</w:t>
            </w:r>
            <w:r w:rsidR="007350AF">
              <w:rPr>
                <w:rFonts w:ascii="Times New Roman" w:hAnsi="Times New Roman" w:cs="Times New Roman"/>
                <w:b/>
                <w:szCs w:val="24"/>
              </w:rPr>
              <w:t>67</w:t>
            </w:r>
          </w:p>
        </w:tc>
      </w:tr>
      <w:tr w:rsidR="00FA2538" w:rsidRPr="00937DA6" w14:paraId="355071A4" w14:textId="77777777" w:rsidTr="00BD4F6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88" w:type="dxa"/>
            <w:tcBorders>
              <w:bottom w:val="single" w:sz="8" w:space="0" w:color="FFFFFF" w:themeColor="background1"/>
            </w:tcBorders>
          </w:tcPr>
          <w:p w14:paraId="7FEEBAEB" w14:textId="77777777" w:rsidR="00FA2538" w:rsidRPr="0059070A" w:rsidRDefault="00FA2538" w:rsidP="00BD4F60">
            <w:pPr>
              <w:rPr>
                <w:rFonts w:ascii="Times New Roman" w:hAnsi="Times New Roman" w:cs="Times New Roman"/>
                <w:szCs w:val="24"/>
              </w:rPr>
            </w:pPr>
            <w:r w:rsidRPr="0059070A">
              <w:rPr>
                <w:rFonts w:ascii="Times New Roman" w:hAnsi="Times New Roman" w:cs="Times New Roman"/>
                <w:szCs w:val="24"/>
              </w:rPr>
              <w:t xml:space="preserve">     Flow/mg</w:t>
            </w:r>
          </w:p>
        </w:tc>
        <w:tc>
          <w:tcPr>
            <w:tcW w:w="2430" w:type="dxa"/>
          </w:tcPr>
          <w:p w14:paraId="0485C71B" w14:textId="78D4C311" w:rsidR="00FA2538" w:rsidRPr="0059070A" w:rsidRDefault="00FA2538" w:rsidP="00BD4F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9070A">
              <w:rPr>
                <w:rFonts w:ascii="Times New Roman" w:hAnsi="Times New Roman" w:cs="Times New Roman"/>
                <w:szCs w:val="24"/>
              </w:rPr>
              <w:t>$</w:t>
            </w:r>
            <w:r w:rsidR="00F315EE">
              <w:rPr>
                <w:rFonts w:ascii="Times New Roman" w:hAnsi="Times New Roman" w:cs="Times New Roman"/>
                <w:szCs w:val="24"/>
              </w:rPr>
              <w:t>946</w:t>
            </w:r>
            <w:r w:rsidRPr="0059070A">
              <w:rPr>
                <w:rFonts w:ascii="Times New Roman" w:hAnsi="Times New Roman" w:cs="Times New Roman"/>
                <w:szCs w:val="24"/>
              </w:rPr>
              <w:t>.00</w:t>
            </w:r>
          </w:p>
        </w:tc>
        <w:tc>
          <w:tcPr>
            <w:tcW w:w="3258" w:type="dxa"/>
          </w:tcPr>
          <w:p w14:paraId="1B34027F" w14:textId="33547880" w:rsidR="00FA2538" w:rsidRPr="0059070A" w:rsidRDefault="00FA2538" w:rsidP="00BD4F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r w:rsidRPr="0059070A">
              <w:rPr>
                <w:rFonts w:ascii="Times New Roman" w:hAnsi="Times New Roman" w:cs="Times New Roman"/>
                <w:b/>
                <w:szCs w:val="24"/>
              </w:rPr>
              <w:t>$9</w:t>
            </w:r>
            <w:r w:rsidR="007350AF">
              <w:rPr>
                <w:rFonts w:ascii="Times New Roman" w:hAnsi="Times New Roman" w:cs="Times New Roman"/>
                <w:b/>
                <w:szCs w:val="24"/>
              </w:rPr>
              <w:t>79</w:t>
            </w:r>
            <w:r w:rsidRPr="0059070A">
              <w:rPr>
                <w:rFonts w:ascii="Times New Roman" w:hAnsi="Times New Roman" w:cs="Times New Roman"/>
                <w:b/>
                <w:szCs w:val="24"/>
              </w:rPr>
              <w:t>.00</w:t>
            </w:r>
          </w:p>
        </w:tc>
      </w:tr>
      <w:tr w:rsidR="00FA2538" w:rsidRPr="00937DA6" w14:paraId="6129E851" w14:textId="77777777" w:rsidTr="00BD4F60">
        <w:trPr>
          <w:trHeight w:val="277"/>
          <w:jc w:val="center"/>
        </w:trPr>
        <w:tc>
          <w:tcPr>
            <w:cnfStyle w:val="001000000000" w:firstRow="0" w:lastRow="0" w:firstColumn="1" w:lastColumn="0" w:oddVBand="0" w:evenVBand="0" w:oddHBand="0" w:evenHBand="0" w:firstRowFirstColumn="0" w:firstRowLastColumn="0" w:lastRowFirstColumn="0" w:lastRowLastColumn="0"/>
            <w:tcW w:w="2988" w:type="dxa"/>
            <w:tcBorders>
              <w:bottom w:val="single" w:sz="8" w:space="0" w:color="FFFFFF" w:themeColor="background1"/>
            </w:tcBorders>
          </w:tcPr>
          <w:p w14:paraId="6A24808F" w14:textId="77777777" w:rsidR="00FA2538" w:rsidRPr="0059070A" w:rsidRDefault="00FA2538" w:rsidP="00BD4F60">
            <w:pPr>
              <w:rPr>
                <w:rFonts w:ascii="Times New Roman" w:hAnsi="Times New Roman" w:cs="Times New Roman"/>
                <w:szCs w:val="24"/>
              </w:rPr>
            </w:pPr>
            <w:r w:rsidRPr="0059070A">
              <w:rPr>
                <w:rFonts w:ascii="Times New Roman" w:hAnsi="Times New Roman" w:cs="Times New Roman"/>
                <w:szCs w:val="24"/>
              </w:rPr>
              <w:t xml:space="preserve">     BOD/klb</w:t>
            </w:r>
          </w:p>
        </w:tc>
        <w:tc>
          <w:tcPr>
            <w:tcW w:w="2430" w:type="dxa"/>
          </w:tcPr>
          <w:p w14:paraId="1564E1F1" w14:textId="77777777" w:rsidR="00FA2538" w:rsidRPr="0059070A" w:rsidRDefault="00FA2538" w:rsidP="00BD4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9070A">
              <w:rPr>
                <w:rFonts w:ascii="Times New Roman" w:hAnsi="Times New Roman" w:cs="Times New Roman"/>
                <w:szCs w:val="24"/>
              </w:rPr>
              <w:t>$307.00</w:t>
            </w:r>
          </w:p>
        </w:tc>
        <w:tc>
          <w:tcPr>
            <w:tcW w:w="3258" w:type="dxa"/>
          </w:tcPr>
          <w:p w14:paraId="5A3C94EB" w14:textId="175437BB" w:rsidR="00FA2538" w:rsidRPr="0059070A" w:rsidRDefault="00FA2538" w:rsidP="00BD4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r w:rsidRPr="0059070A">
              <w:rPr>
                <w:rFonts w:ascii="Times New Roman" w:hAnsi="Times New Roman" w:cs="Times New Roman"/>
                <w:b/>
                <w:szCs w:val="24"/>
              </w:rPr>
              <w:t>$3</w:t>
            </w:r>
            <w:r w:rsidR="00F315EE">
              <w:rPr>
                <w:rFonts w:ascii="Times New Roman" w:hAnsi="Times New Roman" w:cs="Times New Roman"/>
                <w:b/>
                <w:szCs w:val="24"/>
              </w:rPr>
              <w:t>16</w:t>
            </w:r>
            <w:r w:rsidRPr="0059070A">
              <w:rPr>
                <w:rFonts w:ascii="Times New Roman" w:hAnsi="Times New Roman" w:cs="Times New Roman"/>
                <w:b/>
                <w:szCs w:val="24"/>
              </w:rPr>
              <w:t>.00</w:t>
            </w:r>
          </w:p>
        </w:tc>
      </w:tr>
      <w:tr w:rsidR="00FA2538" w:rsidRPr="00937DA6" w14:paraId="343AA0F4" w14:textId="77777777" w:rsidTr="00BD4F60">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988" w:type="dxa"/>
          </w:tcPr>
          <w:p w14:paraId="1FC24950" w14:textId="77777777" w:rsidR="00FA2538" w:rsidRPr="0059070A" w:rsidRDefault="00FA2538" w:rsidP="00BD4F60">
            <w:pPr>
              <w:rPr>
                <w:rFonts w:ascii="Times New Roman" w:hAnsi="Times New Roman" w:cs="Times New Roman"/>
                <w:szCs w:val="24"/>
              </w:rPr>
            </w:pPr>
            <w:r w:rsidRPr="0059070A">
              <w:rPr>
                <w:rFonts w:ascii="Times New Roman" w:hAnsi="Times New Roman" w:cs="Times New Roman"/>
                <w:szCs w:val="24"/>
              </w:rPr>
              <w:t xml:space="preserve">     TSS/klb</w:t>
            </w:r>
          </w:p>
        </w:tc>
        <w:tc>
          <w:tcPr>
            <w:tcW w:w="2430" w:type="dxa"/>
          </w:tcPr>
          <w:p w14:paraId="7B834C63" w14:textId="77777777" w:rsidR="00FA2538" w:rsidRPr="0059070A" w:rsidRDefault="00FA2538" w:rsidP="00BD4F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9070A">
              <w:rPr>
                <w:rFonts w:ascii="Times New Roman" w:hAnsi="Times New Roman" w:cs="Times New Roman"/>
                <w:szCs w:val="24"/>
              </w:rPr>
              <w:t>$429.00</w:t>
            </w:r>
          </w:p>
        </w:tc>
        <w:tc>
          <w:tcPr>
            <w:tcW w:w="3258" w:type="dxa"/>
          </w:tcPr>
          <w:p w14:paraId="7716795B" w14:textId="4CC2F24B" w:rsidR="00FA2538" w:rsidRPr="0059070A" w:rsidRDefault="00FA2538" w:rsidP="00BD4F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r w:rsidRPr="0059070A">
              <w:rPr>
                <w:rFonts w:ascii="Times New Roman" w:hAnsi="Times New Roman" w:cs="Times New Roman"/>
                <w:b/>
                <w:szCs w:val="24"/>
              </w:rPr>
              <w:t>$4</w:t>
            </w:r>
            <w:r w:rsidR="00F315EE">
              <w:rPr>
                <w:rFonts w:ascii="Times New Roman" w:hAnsi="Times New Roman" w:cs="Times New Roman"/>
                <w:b/>
                <w:szCs w:val="24"/>
              </w:rPr>
              <w:t>42</w:t>
            </w:r>
            <w:r w:rsidRPr="0059070A">
              <w:rPr>
                <w:rFonts w:ascii="Times New Roman" w:hAnsi="Times New Roman" w:cs="Times New Roman"/>
                <w:b/>
                <w:szCs w:val="24"/>
              </w:rPr>
              <w:t>.00</w:t>
            </w:r>
          </w:p>
        </w:tc>
      </w:tr>
    </w:tbl>
    <w:p w14:paraId="483D8516" w14:textId="77777777" w:rsidR="00FA2538" w:rsidRDefault="00FA2538" w:rsidP="00FA2538">
      <w:pPr>
        <w:jc w:val="both"/>
        <w:rPr>
          <w:szCs w:val="24"/>
        </w:rPr>
      </w:pPr>
    </w:p>
    <w:p w14:paraId="6483E270" w14:textId="77777777" w:rsidR="00AB015B" w:rsidRDefault="00AB015B" w:rsidP="00FA2538">
      <w:pPr>
        <w:jc w:val="both"/>
        <w:rPr>
          <w:szCs w:val="24"/>
        </w:rPr>
      </w:pPr>
    </w:p>
    <w:p w14:paraId="7B276BAA" w14:textId="2D9CD628" w:rsidR="00FA2538" w:rsidRPr="007558F4" w:rsidRDefault="00FA2538" w:rsidP="00FA2538">
      <w:pPr>
        <w:jc w:val="both"/>
        <w:rPr>
          <w:szCs w:val="24"/>
        </w:rPr>
      </w:pPr>
      <w:r w:rsidRPr="007558F4">
        <w:rPr>
          <w:szCs w:val="24"/>
        </w:rPr>
        <w:t>A total of $</w:t>
      </w:r>
      <w:r w:rsidR="00D16E6A">
        <w:rPr>
          <w:szCs w:val="24"/>
        </w:rPr>
        <w:t>9</w:t>
      </w:r>
      <w:r w:rsidRPr="007558F4">
        <w:rPr>
          <w:szCs w:val="24"/>
        </w:rPr>
        <w:t>.</w:t>
      </w:r>
      <w:r w:rsidR="00D16E6A">
        <w:rPr>
          <w:szCs w:val="24"/>
        </w:rPr>
        <w:t>7</w:t>
      </w:r>
      <w:r w:rsidRPr="007558F4">
        <w:rPr>
          <w:szCs w:val="24"/>
        </w:rPr>
        <w:t xml:space="preserve"> million in capital project costs is budgeted </w:t>
      </w:r>
      <w:r w:rsidR="00F66A30">
        <w:rPr>
          <w:szCs w:val="24"/>
        </w:rPr>
        <w:t>for</w:t>
      </w:r>
      <w:r w:rsidRPr="007558F4">
        <w:rPr>
          <w:szCs w:val="24"/>
        </w:rPr>
        <w:t xml:space="preserve"> FY 201</w:t>
      </w:r>
      <w:r w:rsidR="00D16E6A">
        <w:rPr>
          <w:szCs w:val="24"/>
        </w:rPr>
        <w:t>9</w:t>
      </w:r>
      <w:r w:rsidRPr="007558F4">
        <w:rPr>
          <w:szCs w:val="24"/>
        </w:rPr>
        <w:t>/</w:t>
      </w:r>
      <w:r w:rsidR="00D16E6A">
        <w:rPr>
          <w:szCs w:val="24"/>
        </w:rPr>
        <w:t>20</w:t>
      </w:r>
      <w:r w:rsidRPr="007558F4">
        <w:rPr>
          <w:szCs w:val="24"/>
        </w:rPr>
        <w:t xml:space="preserve"> and $</w:t>
      </w:r>
      <w:r w:rsidR="00D16E6A">
        <w:rPr>
          <w:szCs w:val="24"/>
        </w:rPr>
        <w:t>13</w:t>
      </w:r>
      <w:r w:rsidRPr="007558F4">
        <w:rPr>
          <w:szCs w:val="24"/>
        </w:rPr>
        <w:t>.</w:t>
      </w:r>
      <w:r w:rsidR="00D16E6A">
        <w:rPr>
          <w:szCs w:val="24"/>
        </w:rPr>
        <w:t>7</w:t>
      </w:r>
      <w:r w:rsidRPr="007558F4">
        <w:rPr>
          <w:szCs w:val="24"/>
        </w:rPr>
        <w:t xml:space="preserve"> million is </w:t>
      </w:r>
      <w:r w:rsidR="00F66A30">
        <w:rPr>
          <w:szCs w:val="24"/>
        </w:rPr>
        <w:t>budgeted</w:t>
      </w:r>
      <w:r w:rsidRPr="007558F4">
        <w:rPr>
          <w:szCs w:val="24"/>
        </w:rPr>
        <w:t xml:space="preserve"> in FY 20</w:t>
      </w:r>
      <w:r w:rsidR="00D16E6A">
        <w:rPr>
          <w:szCs w:val="24"/>
        </w:rPr>
        <w:t>20</w:t>
      </w:r>
      <w:r w:rsidRPr="007558F4">
        <w:rPr>
          <w:szCs w:val="24"/>
        </w:rPr>
        <w:t>/</w:t>
      </w:r>
      <w:r w:rsidR="00D16E6A">
        <w:rPr>
          <w:szCs w:val="24"/>
        </w:rPr>
        <w:t>21</w:t>
      </w:r>
      <w:r w:rsidRPr="007558F4">
        <w:rPr>
          <w:szCs w:val="24"/>
        </w:rPr>
        <w:t xml:space="preserve">. The proposed capital project budget includes $0.7 million for the Agency’s </w:t>
      </w:r>
      <w:r w:rsidR="001F0A76">
        <w:rPr>
          <w:szCs w:val="24"/>
        </w:rPr>
        <w:t>C</w:t>
      </w:r>
      <w:r w:rsidRPr="007558F4">
        <w:rPr>
          <w:szCs w:val="24"/>
        </w:rPr>
        <w:t xml:space="preserve">SDLAC capital charges share funded through </w:t>
      </w:r>
      <w:r w:rsidR="00F66A30">
        <w:rPr>
          <w:szCs w:val="24"/>
        </w:rPr>
        <w:t xml:space="preserve">a </w:t>
      </w:r>
      <w:r w:rsidRPr="007558F4">
        <w:rPr>
          <w:szCs w:val="24"/>
        </w:rPr>
        <w:t>state revolving fund (SRF) loan</w:t>
      </w:r>
      <w:r w:rsidR="00D16E6A">
        <w:rPr>
          <w:szCs w:val="24"/>
        </w:rPr>
        <w:t>. The loan total</w:t>
      </w:r>
      <w:r w:rsidR="00F66A30">
        <w:rPr>
          <w:szCs w:val="24"/>
        </w:rPr>
        <w:t>s</w:t>
      </w:r>
      <w:r w:rsidR="00D16E6A">
        <w:rPr>
          <w:szCs w:val="24"/>
        </w:rPr>
        <w:t xml:space="preserve"> </w:t>
      </w:r>
      <w:r w:rsidRPr="007558F4">
        <w:rPr>
          <w:szCs w:val="24"/>
        </w:rPr>
        <w:t>$4.4 million</w:t>
      </w:r>
      <w:r w:rsidR="00F66A30">
        <w:rPr>
          <w:szCs w:val="24"/>
        </w:rPr>
        <w:t xml:space="preserve"> with the </w:t>
      </w:r>
      <w:r w:rsidR="00D16E6A">
        <w:rPr>
          <w:szCs w:val="24"/>
        </w:rPr>
        <w:t xml:space="preserve">final payment </w:t>
      </w:r>
      <w:r w:rsidR="00F66A30">
        <w:rPr>
          <w:szCs w:val="24"/>
        </w:rPr>
        <w:t xml:space="preserve">scheduled </w:t>
      </w:r>
      <w:r w:rsidR="00D16E6A">
        <w:rPr>
          <w:szCs w:val="24"/>
        </w:rPr>
        <w:t>in FY 2019/20</w:t>
      </w:r>
      <w:r w:rsidR="00F66A30">
        <w:rPr>
          <w:szCs w:val="24"/>
        </w:rPr>
        <w:t>. The loan</w:t>
      </w:r>
      <w:r w:rsidRPr="007558F4">
        <w:rPr>
          <w:szCs w:val="24"/>
        </w:rPr>
        <w:t xml:space="preserve"> and is supported by the Non-Reclaimable Wastewater fund reserves. The executed </w:t>
      </w:r>
      <w:r w:rsidR="001F0A76">
        <w:rPr>
          <w:szCs w:val="24"/>
        </w:rPr>
        <w:t>C</w:t>
      </w:r>
      <w:r w:rsidRPr="007558F4">
        <w:rPr>
          <w:szCs w:val="24"/>
        </w:rPr>
        <w:t xml:space="preserve">SDLAC agreement requires the Agency to pay a </w:t>
      </w:r>
      <w:r w:rsidR="00F66A30">
        <w:rPr>
          <w:szCs w:val="24"/>
        </w:rPr>
        <w:t xml:space="preserve">$4.4 million </w:t>
      </w:r>
      <w:r w:rsidRPr="007558F4">
        <w:rPr>
          <w:szCs w:val="24"/>
        </w:rPr>
        <w:t xml:space="preserve">share of their existing SRF loan with an annual interest rate of 2.3 percent </w:t>
      </w:r>
      <w:r w:rsidR="00F66A30">
        <w:rPr>
          <w:szCs w:val="24"/>
        </w:rPr>
        <w:t>for a</w:t>
      </w:r>
      <w:r w:rsidRPr="007558F4">
        <w:rPr>
          <w:szCs w:val="24"/>
        </w:rPr>
        <w:t xml:space="preserve"> six-year term. </w:t>
      </w:r>
    </w:p>
    <w:p w14:paraId="325A4E52" w14:textId="77777777" w:rsidR="00FA2538" w:rsidRDefault="00FA2538" w:rsidP="00FA2538">
      <w:pPr>
        <w:jc w:val="both"/>
        <w:rPr>
          <w:szCs w:val="24"/>
        </w:rPr>
      </w:pPr>
    </w:p>
    <w:p w14:paraId="14F0276C" w14:textId="7DA4B488" w:rsidR="00FA2538" w:rsidRDefault="00D16E6A" w:rsidP="00FA2538">
      <w:pPr>
        <w:jc w:val="both"/>
        <w:rPr>
          <w:szCs w:val="24"/>
        </w:rPr>
      </w:pPr>
      <w:r w:rsidRPr="00D16E6A">
        <w:rPr>
          <w:szCs w:val="24"/>
        </w:rPr>
        <w:t xml:space="preserve">In October 2012 the Board agreed to defer the FY 2011/12 </w:t>
      </w:r>
      <w:r w:rsidR="001F0A76">
        <w:rPr>
          <w:szCs w:val="24"/>
        </w:rPr>
        <w:t>C</w:t>
      </w:r>
      <w:r w:rsidRPr="00D16E6A">
        <w:rPr>
          <w:szCs w:val="24"/>
        </w:rPr>
        <w:t>SDLAC 4Rs capital costs of $2.6 million to mitigate the fiscal impact to the Northern system customers. Due to this deferral, recovery of the Agency’s capital expenditures for the NRW program were deferred</w:t>
      </w:r>
      <w:r w:rsidR="00F66A30">
        <w:rPr>
          <w:szCs w:val="24"/>
        </w:rPr>
        <w:t>.</w:t>
      </w:r>
      <w:r w:rsidRPr="00D16E6A">
        <w:rPr>
          <w:szCs w:val="24"/>
        </w:rPr>
        <w:t xml:space="preserve"> In FY 2015/16 the </w:t>
      </w:r>
      <w:r w:rsidR="001F0A76">
        <w:rPr>
          <w:szCs w:val="24"/>
        </w:rPr>
        <w:t>C</w:t>
      </w:r>
      <w:r w:rsidRPr="00D16E6A">
        <w:rPr>
          <w:szCs w:val="24"/>
        </w:rPr>
        <w:t>SDLAC 4Rs capital costs were fully paid and the Agency began to recover its deferred capital costs. Full recovery of the Agency’s capital costs is projected to be reached in FY 2022/23.</w:t>
      </w:r>
    </w:p>
    <w:p w14:paraId="57317CDD" w14:textId="77777777" w:rsidR="00D16E6A" w:rsidRDefault="00D16E6A" w:rsidP="00FA2538">
      <w:pPr>
        <w:jc w:val="both"/>
        <w:rPr>
          <w:szCs w:val="24"/>
        </w:rPr>
      </w:pPr>
    </w:p>
    <w:p w14:paraId="5C251580" w14:textId="32AEB2BA" w:rsidR="00FA2538" w:rsidRDefault="00FA2538" w:rsidP="00FA2538">
      <w:pPr>
        <w:jc w:val="center"/>
        <w:rPr>
          <w:b/>
          <w:bCs/>
          <w:szCs w:val="24"/>
        </w:rPr>
      </w:pPr>
      <w:r>
        <w:rPr>
          <w:b/>
          <w:bCs/>
          <w:szCs w:val="24"/>
        </w:rPr>
        <w:t xml:space="preserve">Table B-2:  </w:t>
      </w:r>
      <w:r w:rsidRPr="004A3313">
        <w:rPr>
          <w:b/>
          <w:bCs/>
          <w:szCs w:val="24"/>
        </w:rPr>
        <w:t xml:space="preserve">Recovery of Deferred </w:t>
      </w:r>
      <w:r w:rsidR="001F0A76">
        <w:rPr>
          <w:b/>
          <w:bCs/>
          <w:szCs w:val="24"/>
        </w:rPr>
        <w:t>C</w:t>
      </w:r>
      <w:r w:rsidRPr="004A3313">
        <w:rPr>
          <w:b/>
          <w:bCs/>
          <w:szCs w:val="24"/>
        </w:rPr>
        <w:t>SDLAC 4Rs and IEUA Capital Expenditures</w:t>
      </w:r>
    </w:p>
    <w:p w14:paraId="68DC1E44" w14:textId="3CB5D069" w:rsidR="00C20BEC" w:rsidRDefault="00C20BEC" w:rsidP="00D16E6A">
      <w:pPr>
        <w:jc w:val="center"/>
        <w:rPr>
          <w:szCs w:val="24"/>
        </w:rPr>
      </w:pPr>
      <w:r>
        <w:rPr>
          <w:noProof/>
          <w:szCs w:val="24"/>
        </w:rPr>
        <w:drawing>
          <wp:inline distT="0" distB="0" distL="0" distR="0" wp14:anchorId="18268876" wp14:editId="73AF62F6">
            <wp:extent cx="5249253" cy="1826710"/>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3412" cy="1831637"/>
                    </a:xfrm>
                    <a:prstGeom prst="rect">
                      <a:avLst/>
                    </a:prstGeom>
                    <a:noFill/>
                  </pic:spPr>
                </pic:pic>
              </a:graphicData>
            </a:graphic>
          </wp:inline>
        </w:drawing>
      </w:r>
    </w:p>
    <w:p w14:paraId="26090E88" w14:textId="447F4EB3" w:rsidR="00F66A30" w:rsidRDefault="00F66A30" w:rsidP="00D16E6A">
      <w:pPr>
        <w:jc w:val="center"/>
        <w:rPr>
          <w:szCs w:val="24"/>
        </w:rPr>
      </w:pPr>
    </w:p>
    <w:p w14:paraId="62FAF3F4" w14:textId="56CBEC95" w:rsidR="00F66A30" w:rsidRDefault="00F66A30" w:rsidP="006A3DF9">
      <w:pPr>
        <w:jc w:val="both"/>
        <w:rPr>
          <w:szCs w:val="24"/>
        </w:rPr>
      </w:pPr>
      <w:r w:rsidRPr="007558F4">
        <w:rPr>
          <w:szCs w:val="24"/>
        </w:rPr>
        <w:t>The Non-Reclaimable Wastewater ending fund balance for FY 201</w:t>
      </w:r>
      <w:r>
        <w:rPr>
          <w:szCs w:val="24"/>
        </w:rPr>
        <w:t>9</w:t>
      </w:r>
      <w:r w:rsidRPr="007558F4">
        <w:rPr>
          <w:szCs w:val="24"/>
        </w:rPr>
        <w:t>/</w:t>
      </w:r>
      <w:r>
        <w:rPr>
          <w:szCs w:val="24"/>
        </w:rPr>
        <w:t>20</w:t>
      </w:r>
      <w:r w:rsidRPr="007558F4">
        <w:rPr>
          <w:szCs w:val="24"/>
        </w:rPr>
        <w:t xml:space="preserve"> is estimated at $</w:t>
      </w:r>
      <w:r>
        <w:rPr>
          <w:szCs w:val="24"/>
        </w:rPr>
        <w:t>12.2</w:t>
      </w:r>
      <w:r w:rsidRPr="007558F4">
        <w:rPr>
          <w:szCs w:val="24"/>
        </w:rPr>
        <w:t xml:space="preserve"> million, and $</w:t>
      </w:r>
      <w:r>
        <w:rPr>
          <w:szCs w:val="24"/>
        </w:rPr>
        <w:t>6</w:t>
      </w:r>
      <w:r w:rsidRPr="007558F4">
        <w:rPr>
          <w:szCs w:val="24"/>
        </w:rPr>
        <w:t>.</w:t>
      </w:r>
      <w:r>
        <w:rPr>
          <w:szCs w:val="24"/>
        </w:rPr>
        <w:t>6</w:t>
      </w:r>
      <w:r w:rsidRPr="007558F4">
        <w:rPr>
          <w:szCs w:val="24"/>
        </w:rPr>
        <w:t xml:space="preserve"> million </w:t>
      </w:r>
      <w:r>
        <w:rPr>
          <w:szCs w:val="24"/>
        </w:rPr>
        <w:t>for</w:t>
      </w:r>
      <w:r w:rsidRPr="007558F4">
        <w:rPr>
          <w:szCs w:val="24"/>
        </w:rPr>
        <w:t xml:space="preserve"> FY 20</w:t>
      </w:r>
      <w:r>
        <w:rPr>
          <w:szCs w:val="24"/>
        </w:rPr>
        <w:t>20</w:t>
      </w:r>
      <w:r w:rsidRPr="007558F4">
        <w:rPr>
          <w:szCs w:val="24"/>
        </w:rPr>
        <w:t>/</w:t>
      </w:r>
      <w:r>
        <w:rPr>
          <w:szCs w:val="24"/>
        </w:rPr>
        <w:t>21</w:t>
      </w:r>
      <w:r w:rsidRPr="007558F4">
        <w:rPr>
          <w:szCs w:val="24"/>
        </w:rPr>
        <w:t xml:space="preserve">. </w:t>
      </w:r>
      <w:r w:rsidRPr="00D840C7">
        <w:t xml:space="preserve">The </w:t>
      </w:r>
      <w:r>
        <w:t>FY 2020/21 the de</w:t>
      </w:r>
      <w:r w:rsidRPr="00D840C7">
        <w:t>crease in fund balance</w:t>
      </w:r>
      <w:r>
        <w:t>,</w:t>
      </w:r>
      <w:r w:rsidRPr="00D840C7">
        <w:t xml:space="preserve"> as shown </w:t>
      </w:r>
      <w:r>
        <w:t xml:space="preserve">below, can be mainly attributed </w:t>
      </w:r>
      <w:r w:rsidRPr="00D840C7">
        <w:t xml:space="preserve">to </w:t>
      </w:r>
      <w:r>
        <w:t xml:space="preserve">increasing capital project costs beginning in FY 2019/20. </w:t>
      </w:r>
      <w:r w:rsidRPr="007558F4">
        <w:rPr>
          <w:szCs w:val="24"/>
        </w:rPr>
        <w:t xml:space="preserve">A total of $15 million </w:t>
      </w:r>
      <w:r>
        <w:rPr>
          <w:szCs w:val="24"/>
        </w:rPr>
        <w:t>of</w:t>
      </w:r>
      <w:r w:rsidRPr="007558F4">
        <w:rPr>
          <w:szCs w:val="24"/>
        </w:rPr>
        <w:t xml:space="preserve"> inter-fund loan</w:t>
      </w:r>
      <w:r>
        <w:rPr>
          <w:szCs w:val="24"/>
        </w:rPr>
        <w:t>s</w:t>
      </w:r>
      <w:r w:rsidRPr="007558F4">
        <w:rPr>
          <w:szCs w:val="24"/>
        </w:rPr>
        <w:t xml:space="preserve"> have been issued to the Recycled Water fund</w:t>
      </w:r>
      <w:r w:rsidR="006A3DF9">
        <w:rPr>
          <w:szCs w:val="24"/>
        </w:rPr>
        <w:t xml:space="preserve">. The fund balance begins </w:t>
      </w:r>
      <w:r w:rsidRPr="007558F4">
        <w:rPr>
          <w:szCs w:val="24"/>
        </w:rPr>
        <w:t>increas</w:t>
      </w:r>
      <w:r w:rsidR="006A3DF9">
        <w:rPr>
          <w:szCs w:val="24"/>
        </w:rPr>
        <w:t>ing</w:t>
      </w:r>
      <w:r w:rsidRPr="007558F4">
        <w:rPr>
          <w:szCs w:val="24"/>
        </w:rPr>
        <w:t xml:space="preserve"> in FY 20</w:t>
      </w:r>
      <w:r w:rsidR="006A3DF9">
        <w:rPr>
          <w:szCs w:val="24"/>
        </w:rPr>
        <w:t>21</w:t>
      </w:r>
      <w:r w:rsidRPr="007558F4">
        <w:rPr>
          <w:szCs w:val="24"/>
        </w:rPr>
        <w:t>/2</w:t>
      </w:r>
      <w:r w:rsidR="006A3DF9">
        <w:rPr>
          <w:szCs w:val="24"/>
        </w:rPr>
        <w:t>2,</w:t>
      </w:r>
      <w:r w:rsidR="006A3DF9" w:rsidRPr="006A3DF9">
        <w:rPr>
          <w:szCs w:val="24"/>
        </w:rPr>
        <w:t xml:space="preserve"> </w:t>
      </w:r>
      <w:r w:rsidR="006A3DF9" w:rsidRPr="007558F4">
        <w:rPr>
          <w:szCs w:val="24"/>
        </w:rPr>
        <w:t xml:space="preserve">as shown in Figure </w:t>
      </w:r>
      <w:r w:rsidR="006A3DF9">
        <w:rPr>
          <w:szCs w:val="24"/>
        </w:rPr>
        <w:t xml:space="preserve">B-3, the increase is </w:t>
      </w:r>
      <w:r w:rsidR="006A3DF9" w:rsidRPr="007558F4">
        <w:rPr>
          <w:szCs w:val="24"/>
        </w:rPr>
        <w:t xml:space="preserve">due to </w:t>
      </w:r>
      <w:r w:rsidR="006A3DF9">
        <w:rPr>
          <w:szCs w:val="24"/>
        </w:rPr>
        <w:t>a combination of inter-fund</w:t>
      </w:r>
      <w:r w:rsidR="006A3DF9" w:rsidRPr="007558F4">
        <w:rPr>
          <w:szCs w:val="24"/>
        </w:rPr>
        <w:t xml:space="preserve"> loan repayment</w:t>
      </w:r>
      <w:r w:rsidR="006A3DF9">
        <w:rPr>
          <w:szCs w:val="24"/>
        </w:rPr>
        <w:t>s</w:t>
      </w:r>
      <w:r w:rsidR="006A3DF9" w:rsidRPr="007558F4">
        <w:rPr>
          <w:szCs w:val="24"/>
        </w:rPr>
        <w:t xml:space="preserve"> from Recycled Water fund</w:t>
      </w:r>
      <w:r w:rsidR="006A3DF9">
        <w:rPr>
          <w:szCs w:val="24"/>
        </w:rPr>
        <w:t xml:space="preserve"> and decreasing capital project costs</w:t>
      </w:r>
      <w:r w:rsidR="006A3DF9" w:rsidRPr="007558F4">
        <w:rPr>
          <w:szCs w:val="24"/>
        </w:rPr>
        <w:t>.</w:t>
      </w:r>
    </w:p>
    <w:p w14:paraId="1B251EA9" w14:textId="77777777" w:rsidR="00BE0216" w:rsidRDefault="00BE0216" w:rsidP="00FA2538">
      <w:pPr>
        <w:jc w:val="center"/>
        <w:rPr>
          <w:b/>
          <w:szCs w:val="24"/>
        </w:rPr>
      </w:pPr>
    </w:p>
    <w:p w14:paraId="52FA7CC4" w14:textId="0DEEBF14" w:rsidR="00FA2538" w:rsidRDefault="00FA2538" w:rsidP="00FA2538">
      <w:pPr>
        <w:jc w:val="center"/>
        <w:rPr>
          <w:b/>
          <w:szCs w:val="24"/>
        </w:rPr>
      </w:pPr>
      <w:r>
        <w:rPr>
          <w:b/>
          <w:szCs w:val="24"/>
        </w:rPr>
        <w:t>Figure B-</w:t>
      </w:r>
      <w:r w:rsidR="00560DB7">
        <w:rPr>
          <w:b/>
          <w:szCs w:val="24"/>
        </w:rPr>
        <w:t>1</w:t>
      </w:r>
      <w:r w:rsidRPr="00D70CA5">
        <w:rPr>
          <w:b/>
          <w:szCs w:val="24"/>
        </w:rPr>
        <w:t xml:space="preserve">: </w:t>
      </w:r>
      <w:r>
        <w:rPr>
          <w:b/>
          <w:szCs w:val="24"/>
        </w:rPr>
        <w:t xml:space="preserve"> NRW Fund Estimated Ending Fund Balance</w:t>
      </w:r>
    </w:p>
    <w:p w14:paraId="7E76CCDF" w14:textId="77777777" w:rsidR="00414E79" w:rsidRDefault="00C20BEC" w:rsidP="00414E79">
      <w:pPr>
        <w:pStyle w:val="BodyText"/>
        <w:jc w:val="center"/>
        <w:rPr>
          <w:rFonts w:eastAsiaTheme="minorHAnsi" w:cs="Calibri"/>
          <w:b/>
          <w:szCs w:val="24"/>
        </w:rPr>
      </w:pPr>
      <w:r>
        <w:rPr>
          <w:rFonts w:ascii="Times" w:hAnsi="Times"/>
          <w:bCs w:val="0"/>
          <w:noProof/>
        </w:rPr>
        <w:drawing>
          <wp:inline distT="0" distB="0" distL="0" distR="0" wp14:anchorId="498D6F4F" wp14:editId="55631FE8">
            <wp:extent cx="5050601" cy="198646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7616" cy="2001025"/>
                    </a:xfrm>
                    <a:prstGeom prst="rect">
                      <a:avLst/>
                    </a:prstGeom>
                    <a:noFill/>
                  </pic:spPr>
                </pic:pic>
              </a:graphicData>
            </a:graphic>
          </wp:inline>
        </w:drawing>
      </w:r>
      <w:r w:rsidR="00414E79" w:rsidRPr="00414E79">
        <w:rPr>
          <w:rFonts w:eastAsiaTheme="minorHAnsi" w:cs="Calibri"/>
          <w:b/>
          <w:szCs w:val="24"/>
        </w:rPr>
        <w:t xml:space="preserve"> </w:t>
      </w:r>
    </w:p>
    <w:p w14:paraId="7342AB6E" w14:textId="36EEEAA2" w:rsidR="00414E79" w:rsidRDefault="00414E79" w:rsidP="00414E79">
      <w:pPr>
        <w:pStyle w:val="BodyText"/>
        <w:jc w:val="center"/>
        <w:rPr>
          <w:b/>
          <w:szCs w:val="24"/>
        </w:rPr>
      </w:pPr>
      <w:r w:rsidRPr="00C3616C">
        <w:rPr>
          <w:rFonts w:eastAsiaTheme="minorHAnsi" w:cs="Calibri"/>
          <w:b/>
          <w:szCs w:val="24"/>
        </w:rPr>
        <w:t xml:space="preserve">Appendix </w:t>
      </w:r>
      <w:r>
        <w:rPr>
          <w:rFonts w:eastAsiaTheme="minorHAnsi" w:cs="Calibri"/>
          <w:b/>
          <w:szCs w:val="24"/>
        </w:rPr>
        <w:t xml:space="preserve">C1:  </w:t>
      </w:r>
      <w:r w:rsidRPr="000B506D">
        <w:rPr>
          <w:b/>
          <w:szCs w:val="24"/>
        </w:rPr>
        <w:t>Budget Summary of FYs 201</w:t>
      </w:r>
      <w:r>
        <w:rPr>
          <w:b/>
          <w:szCs w:val="24"/>
        </w:rPr>
        <w:t>9</w:t>
      </w:r>
      <w:r w:rsidRPr="000B506D">
        <w:rPr>
          <w:b/>
          <w:szCs w:val="24"/>
        </w:rPr>
        <w:t>/</w:t>
      </w:r>
      <w:r>
        <w:rPr>
          <w:b/>
          <w:szCs w:val="24"/>
        </w:rPr>
        <w:t>20</w:t>
      </w:r>
      <w:r w:rsidRPr="000B506D">
        <w:rPr>
          <w:b/>
          <w:szCs w:val="24"/>
        </w:rPr>
        <w:t xml:space="preserve"> and 20</w:t>
      </w:r>
      <w:r>
        <w:rPr>
          <w:b/>
          <w:szCs w:val="24"/>
        </w:rPr>
        <w:t>20</w:t>
      </w:r>
      <w:r w:rsidRPr="000B506D">
        <w:rPr>
          <w:b/>
          <w:szCs w:val="24"/>
        </w:rPr>
        <w:t>/</w:t>
      </w:r>
      <w:r>
        <w:rPr>
          <w:b/>
          <w:szCs w:val="24"/>
        </w:rPr>
        <w:t>21 ($ Millions)</w:t>
      </w:r>
    </w:p>
    <w:tbl>
      <w:tblPr>
        <w:tblStyle w:val="MediumGrid3-Accent1"/>
        <w:tblW w:w="9277" w:type="dxa"/>
        <w:jc w:val="center"/>
        <w:tblLayout w:type="fixed"/>
        <w:tblCellMar>
          <w:left w:w="115" w:type="dxa"/>
          <w:right w:w="115" w:type="dxa"/>
        </w:tblCellMar>
        <w:tblLook w:val="04A0" w:firstRow="1" w:lastRow="0" w:firstColumn="1" w:lastColumn="0" w:noHBand="0" w:noVBand="1"/>
      </w:tblPr>
      <w:tblGrid>
        <w:gridCol w:w="22"/>
        <w:gridCol w:w="2038"/>
        <w:gridCol w:w="1080"/>
        <w:gridCol w:w="1080"/>
        <w:gridCol w:w="1080"/>
        <w:gridCol w:w="1080"/>
        <w:gridCol w:w="990"/>
        <w:gridCol w:w="990"/>
        <w:gridCol w:w="917"/>
      </w:tblGrid>
      <w:tr w:rsidR="00414E79" w:rsidRPr="000B4C94" w14:paraId="702DF442" w14:textId="77777777" w:rsidTr="005262FC">
        <w:trPr>
          <w:gridBefore w:val="1"/>
          <w:cnfStyle w:val="100000000000" w:firstRow="1" w:lastRow="0" w:firstColumn="0" w:lastColumn="0" w:oddVBand="0" w:evenVBand="0" w:oddHBand="0" w:evenHBand="0" w:firstRowFirstColumn="0" w:firstRowLastColumn="0" w:lastRowFirstColumn="0" w:lastRowLastColumn="0"/>
          <w:wBefore w:w="22" w:type="dxa"/>
          <w:trHeight w:hRule="exact" w:val="497"/>
          <w:tblHeader/>
          <w:jc w:val="center"/>
        </w:trPr>
        <w:tc>
          <w:tcPr>
            <w:cnfStyle w:val="001000000000" w:firstRow="0" w:lastRow="0" w:firstColumn="1" w:lastColumn="0" w:oddVBand="0" w:evenVBand="0" w:oddHBand="0" w:evenHBand="0" w:firstRowFirstColumn="0" w:firstRowLastColumn="0" w:lastRowFirstColumn="0" w:lastRowLastColumn="0"/>
            <w:tcW w:w="2038" w:type="dxa"/>
            <w:vAlign w:val="center"/>
          </w:tcPr>
          <w:p w14:paraId="1F6427A1" w14:textId="77777777" w:rsidR="00414E79" w:rsidRPr="0059070A" w:rsidRDefault="00414E79" w:rsidP="005262FC">
            <w:pPr>
              <w:jc w:val="center"/>
              <w:rPr>
                <w:rFonts w:ascii="Times New Roman" w:hAnsi="Times New Roman" w:cs="Times New Roman"/>
                <w:bCs w:val="0"/>
                <w:sz w:val="20"/>
                <w:szCs w:val="20"/>
              </w:rPr>
            </w:pPr>
          </w:p>
        </w:tc>
        <w:tc>
          <w:tcPr>
            <w:tcW w:w="1080" w:type="dxa"/>
            <w:vAlign w:val="center"/>
          </w:tcPr>
          <w:p w14:paraId="605107E1" w14:textId="77777777" w:rsidR="00414E79" w:rsidRPr="0059070A" w:rsidRDefault="00414E79" w:rsidP="005262F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59070A">
              <w:rPr>
                <w:rFonts w:ascii="Times New Roman" w:hAnsi="Times New Roman" w:cs="Times New Roman"/>
                <w:sz w:val="20"/>
                <w:szCs w:val="20"/>
              </w:rPr>
              <w:t>Actual</w:t>
            </w:r>
          </w:p>
        </w:tc>
        <w:tc>
          <w:tcPr>
            <w:tcW w:w="1080" w:type="dxa"/>
            <w:vAlign w:val="center"/>
          </w:tcPr>
          <w:p w14:paraId="1FA82C04" w14:textId="77777777" w:rsidR="00414E79" w:rsidRPr="0059070A" w:rsidRDefault="00414E79" w:rsidP="005262F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59070A">
              <w:rPr>
                <w:rFonts w:ascii="Times New Roman" w:hAnsi="Times New Roman" w:cs="Times New Roman"/>
                <w:sz w:val="20"/>
                <w:szCs w:val="20"/>
              </w:rPr>
              <w:t>Projected Actual</w:t>
            </w:r>
          </w:p>
        </w:tc>
        <w:tc>
          <w:tcPr>
            <w:tcW w:w="2160" w:type="dxa"/>
            <w:gridSpan w:val="2"/>
            <w:vAlign w:val="center"/>
          </w:tcPr>
          <w:p w14:paraId="11AD50CD" w14:textId="77777777" w:rsidR="00414E79" w:rsidRPr="0059070A" w:rsidDel="00931665" w:rsidRDefault="00414E79" w:rsidP="005262F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59070A">
              <w:rPr>
                <w:noProof/>
                <w:sz w:val="20"/>
              </w:rPr>
              <mc:AlternateContent>
                <mc:Choice Requires="wps">
                  <w:drawing>
                    <wp:anchor distT="0" distB="0" distL="114300" distR="114300" simplePos="0" relativeHeight="251664384" behindDoc="0" locked="0" layoutInCell="1" allowOverlap="1" wp14:anchorId="4AF9744D" wp14:editId="5EEF9DFD">
                      <wp:simplePos x="0" y="0"/>
                      <wp:positionH relativeFrom="column">
                        <wp:posOffset>-69215</wp:posOffset>
                      </wp:positionH>
                      <wp:positionV relativeFrom="paragraph">
                        <wp:posOffset>-33655</wp:posOffset>
                      </wp:positionV>
                      <wp:extent cx="1337310" cy="3539490"/>
                      <wp:effectExtent l="0" t="0" r="15240" b="22860"/>
                      <wp:wrapNone/>
                      <wp:docPr id="1073" name="Rectangle 1073"/>
                      <wp:cNvGraphicFramePr/>
                      <a:graphic xmlns:a="http://schemas.openxmlformats.org/drawingml/2006/main">
                        <a:graphicData uri="http://schemas.microsoft.com/office/word/2010/wordprocessingShape">
                          <wps:wsp>
                            <wps:cNvSpPr/>
                            <wps:spPr>
                              <a:xfrm>
                                <a:off x="0" y="0"/>
                                <a:ext cx="1337310" cy="3539490"/>
                              </a:xfrm>
                              <a:prstGeom prst="rect">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D8177" id="Rectangle 1073" o:spid="_x0000_s1026" style="position:absolute;margin-left:-5.45pt;margin-top:-2.65pt;width:105.3pt;height:27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" filled="f" strokecolor="#373545 [3215]" strokeweight="1.25pt">
                      <v:stroke endcap="round"/>
                    </v:rect>
                  </w:pict>
                </mc:Fallback>
              </mc:AlternateContent>
            </w:r>
            <w:r w:rsidRPr="0059070A">
              <w:rPr>
                <w:rFonts w:ascii="Times New Roman" w:hAnsi="Times New Roman" w:cs="Times New Roman"/>
                <w:sz w:val="20"/>
                <w:szCs w:val="20"/>
              </w:rPr>
              <w:t>Biennial Budget</w:t>
            </w:r>
          </w:p>
        </w:tc>
        <w:tc>
          <w:tcPr>
            <w:tcW w:w="2897" w:type="dxa"/>
            <w:gridSpan w:val="3"/>
            <w:vAlign w:val="center"/>
          </w:tcPr>
          <w:p w14:paraId="4101768E" w14:textId="77777777" w:rsidR="00414E79" w:rsidRPr="0059070A" w:rsidRDefault="00414E79" w:rsidP="005262F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59070A">
              <w:rPr>
                <w:rFonts w:ascii="Times New Roman" w:hAnsi="Times New Roman" w:cs="Times New Roman"/>
                <w:sz w:val="20"/>
                <w:szCs w:val="20"/>
              </w:rPr>
              <w:t>Forecast</w:t>
            </w:r>
          </w:p>
        </w:tc>
      </w:tr>
      <w:tr w:rsidR="00414E79" w:rsidRPr="000B4C94" w14:paraId="00CD6EFE" w14:textId="77777777" w:rsidTr="00414E79">
        <w:trPr>
          <w:gridBefore w:val="1"/>
          <w:cnfStyle w:val="100000000000" w:firstRow="1" w:lastRow="0" w:firstColumn="0" w:lastColumn="0" w:oddVBand="0" w:evenVBand="0" w:oddHBand="0" w:evenHBand="0" w:firstRowFirstColumn="0" w:firstRowLastColumn="0" w:lastRowFirstColumn="0" w:lastRowLastColumn="0"/>
          <w:wBefore w:w="22" w:type="dxa"/>
          <w:trHeight w:hRule="exact" w:val="432"/>
          <w:tblHeader/>
          <w:jc w:val="center"/>
        </w:trPr>
        <w:tc>
          <w:tcPr>
            <w:cnfStyle w:val="001000000000" w:firstRow="0" w:lastRow="0" w:firstColumn="1" w:lastColumn="0" w:oddVBand="0" w:evenVBand="0" w:oddHBand="0" w:evenHBand="0" w:firstRowFirstColumn="0" w:firstRowLastColumn="0" w:lastRowFirstColumn="0" w:lastRowLastColumn="0"/>
            <w:tcW w:w="2038" w:type="dxa"/>
            <w:tcBorders>
              <w:bottom w:val="single" w:sz="8" w:space="0" w:color="FFFFFF" w:themeColor="background1"/>
            </w:tcBorders>
            <w:vAlign w:val="center"/>
          </w:tcPr>
          <w:p w14:paraId="2E007D8A" w14:textId="77777777" w:rsidR="00414E79" w:rsidRPr="0059070A" w:rsidRDefault="00414E79" w:rsidP="005262FC">
            <w:pPr>
              <w:jc w:val="center"/>
              <w:rPr>
                <w:rFonts w:ascii="Times New Roman" w:hAnsi="Times New Roman" w:cs="Times New Roman"/>
                <w:b w:val="0"/>
                <w:bCs w:val="0"/>
                <w:color w:val="auto"/>
                <w:sz w:val="20"/>
                <w:szCs w:val="20"/>
              </w:rPr>
            </w:pPr>
            <w:r w:rsidRPr="0059070A">
              <w:rPr>
                <w:rFonts w:ascii="Times New Roman" w:hAnsi="Times New Roman" w:cs="Times New Roman"/>
                <w:sz w:val="20"/>
                <w:szCs w:val="20"/>
              </w:rPr>
              <w:t>Fiscal Year</w:t>
            </w:r>
          </w:p>
        </w:tc>
        <w:tc>
          <w:tcPr>
            <w:tcW w:w="1080" w:type="dxa"/>
            <w:vAlign w:val="center"/>
          </w:tcPr>
          <w:p w14:paraId="63DCF0D2" w14:textId="2811FBDA" w:rsidR="00414E79" w:rsidRPr="0059070A" w:rsidRDefault="00414E79" w:rsidP="005262F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59070A">
              <w:rPr>
                <w:rFonts w:ascii="Times New Roman" w:hAnsi="Times New Roman" w:cs="Times New Roman"/>
                <w:sz w:val="20"/>
                <w:szCs w:val="20"/>
              </w:rPr>
              <w:t>201</w:t>
            </w:r>
            <w:r>
              <w:rPr>
                <w:rFonts w:ascii="Times New Roman" w:hAnsi="Times New Roman" w:cs="Times New Roman"/>
                <w:sz w:val="20"/>
                <w:szCs w:val="20"/>
              </w:rPr>
              <w:t>7</w:t>
            </w:r>
            <w:r w:rsidRPr="0059070A">
              <w:rPr>
                <w:rFonts w:ascii="Times New Roman" w:hAnsi="Times New Roman" w:cs="Times New Roman"/>
                <w:sz w:val="20"/>
                <w:szCs w:val="20"/>
              </w:rPr>
              <w:t>/1</w:t>
            </w:r>
            <w:r>
              <w:rPr>
                <w:rFonts w:ascii="Times New Roman" w:hAnsi="Times New Roman" w:cs="Times New Roman"/>
                <w:sz w:val="20"/>
                <w:szCs w:val="20"/>
              </w:rPr>
              <w:t>8</w:t>
            </w:r>
          </w:p>
        </w:tc>
        <w:tc>
          <w:tcPr>
            <w:tcW w:w="1080" w:type="dxa"/>
            <w:vAlign w:val="center"/>
          </w:tcPr>
          <w:p w14:paraId="2E0F9264" w14:textId="74DC5A5F" w:rsidR="00414E79" w:rsidRPr="0059070A" w:rsidRDefault="00414E79" w:rsidP="005262F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59070A">
              <w:rPr>
                <w:rFonts w:ascii="Times New Roman" w:hAnsi="Times New Roman" w:cs="Times New Roman"/>
                <w:sz w:val="20"/>
                <w:szCs w:val="20"/>
              </w:rPr>
              <w:t>201</w:t>
            </w:r>
            <w:r>
              <w:rPr>
                <w:rFonts w:ascii="Times New Roman" w:hAnsi="Times New Roman" w:cs="Times New Roman"/>
                <w:sz w:val="20"/>
                <w:szCs w:val="20"/>
              </w:rPr>
              <w:t>8</w:t>
            </w:r>
            <w:r w:rsidRPr="0059070A">
              <w:rPr>
                <w:rFonts w:ascii="Times New Roman" w:hAnsi="Times New Roman" w:cs="Times New Roman"/>
                <w:sz w:val="20"/>
                <w:szCs w:val="20"/>
              </w:rPr>
              <w:t>/1</w:t>
            </w:r>
            <w:r>
              <w:rPr>
                <w:rFonts w:ascii="Times New Roman" w:hAnsi="Times New Roman" w:cs="Times New Roman"/>
                <w:sz w:val="20"/>
                <w:szCs w:val="20"/>
              </w:rPr>
              <w:t>9</w:t>
            </w:r>
          </w:p>
        </w:tc>
        <w:tc>
          <w:tcPr>
            <w:tcW w:w="1080" w:type="dxa"/>
            <w:vAlign w:val="center"/>
          </w:tcPr>
          <w:p w14:paraId="266FC199" w14:textId="492A94F9" w:rsidR="00414E79" w:rsidRPr="0059070A" w:rsidRDefault="00414E79" w:rsidP="005262F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59070A">
              <w:rPr>
                <w:rFonts w:ascii="Times New Roman" w:hAnsi="Times New Roman" w:cs="Times New Roman"/>
                <w:sz w:val="20"/>
                <w:szCs w:val="20"/>
              </w:rPr>
              <w:t>201</w:t>
            </w:r>
            <w:r>
              <w:rPr>
                <w:rFonts w:ascii="Times New Roman" w:hAnsi="Times New Roman" w:cs="Times New Roman"/>
                <w:sz w:val="20"/>
                <w:szCs w:val="20"/>
              </w:rPr>
              <w:t>9</w:t>
            </w:r>
            <w:r w:rsidRPr="0059070A">
              <w:rPr>
                <w:rFonts w:ascii="Times New Roman" w:hAnsi="Times New Roman" w:cs="Times New Roman"/>
                <w:sz w:val="20"/>
                <w:szCs w:val="20"/>
              </w:rPr>
              <w:t>/</w:t>
            </w:r>
            <w:r>
              <w:rPr>
                <w:rFonts w:ascii="Times New Roman" w:hAnsi="Times New Roman" w:cs="Times New Roman"/>
                <w:sz w:val="20"/>
                <w:szCs w:val="20"/>
              </w:rPr>
              <w:t>20</w:t>
            </w:r>
          </w:p>
        </w:tc>
        <w:tc>
          <w:tcPr>
            <w:tcW w:w="1080" w:type="dxa"/>
            <w:vAlign w:val="center"/>
          </w:tcPr>
          <w:p w14:paraId="2862D80F" w14:textId="02534279" w:rsidR="00414E79" w:rsidRPr="003F063A" w:rsidRDefault="00414E79" w:rsidP="00414E7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9070A">
              <w:rPr>
                <w:rFonts w:ascii="Times New Roman" w:hAnsi="Times New Roman" w:cs="Times New Roman"/>
                <w:sz w:val="20"/>
                <w:szCs w:val="20"/>
              </w:rPr>
              <w:t>20</w:t>
            </w:r>
            <w:r>
              <w:rPr>
                <w:rFonts w:ascii="Times New Roman" w:hAnsi="Times New Roman" w:cs="Times New Roman"/>
                <w:sz w:val="20"/>
                <w:szCs w:val="20"/>
              </w:rPr>
              <w:t>20</w:t>
            </w:r>
            <w:r w:rsidRPr="0059070A">
              <w:rPr>
                <w:rFonts w:ascii="Times New Roman" w:hAnsi="Times New Roman" w:cs="Times New Roman"/>
                <w:sz w:val="20"/>
                <w:szCs w:val="20"/>
              </w:rPr>
              <w:t>/</w:t>
            </w:r>
            <w:r>
              <w:rPr>
                <w:rFonts w:ascii="Times New Roman" w:hAnsi="Times New Roman" w:cs="Times New Roman"/>
                <w:sz w:val="20"/>
                <w:szCs w:val="20"/>
              </w:rPr>
              <w:t>21</w:t>
            </w:r>
          </w:p>
        </w:tc>
        <w:tc>
          <w:tcPr>
            <w:tcW w:w="990" w:type="dxa"/>
            <w:vAlign w:val="center"/>
          </w:tcPr>
          <w:p w14:paraId="73078A3E" w14:textId="32A9CC60" w:rsidR="00414E79" w:rsidRPr="0059070A" w:rsidRDefault="00414E79" w:rsidP="005262F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59070A">
              <w:rPr>
                <w:rFonts w:ascii="Times New Roman" w:hAnsi="Times New Roman" w:cs="Times New Roman"/>
                <w:sz w:val="20"/>
                <w:szCs w:val="20"/>
              </w:rPr>
              <w:t>20</w:t>
            </w:r>
            <w:r>
              <w:rPr>
                <w:rFonts w:ascii="Times New Roman" w:hAnsi="Times New Roman" w:cs="Times New Roman"/>
                <w:sz w:val="20"/>
                <w:szCs w:val="20"/>
              </w:rPr>
              <w:t>21</w:t>
            </w:r>
            <w:r w:rsidRPr="0059070A">
              <w:rPr>
                <w:rFonts w:ascii="Times New Roman" w:hAnsi="Times New Roman" w:cs="Times New Roman"/>
                <w:sz w:val="20"/>
                <w:szCs w:val="20"/>
              </w:rPr>
              <w:t>/2</w:t>
            </w:r>
            <w:r>
              <w:rPr>
                <w:rFonts w:ascii="Times New Roman" w:hAnsi="Times New Roman" w:cs="Times New Roman"/>
                <w:sz w:val="20"/>
                <w:szCs w:val="20"/>
              </w:rPr>
              <w:t>2</w:t>
            </w:r>
          </w:p>
        </w:tc>
        <w:tc>
          <w:tcPr>
            <w:tcW w:w="990" w:type="dxa"/>
            <w:vAlign w:val="center"/>
          </w:tcPr>
          <w:p w14:paraId="034F61B7" w14:textId="0B6F38E4" w:rsidR="00414E79" w:rsidRPr="0059070A" w:rsidRDefault="00414E79" w:rsidP="005262F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59070A">
              <w:rPr>
                <w:rFonts w:ascii="Times New Roman" w:hAnsi="Times New Roman" w:cs="Times New Roman"/>
                <w:sz w:val="20"/>
                <w:szCs w:val="20"/>
              </w:rPr>
              <w:t>202</w:t>
            </w:r>
            <w:r>
              <w:rPr>
                <w:rFonts w:ascii="Times New Roman" w:hAnsi="Times New Roman" w:cs="Times New Roman"/>
                <w:sz w:val="20"/>
                <w:szCs w:val="20"/>
              </w:rPr>
              <w:t>2</w:t>
            </w:r>
            <w:r w:rsidRPr="0059070A">
              <w:rPr>
                <w:rFonts w:ascii="Times New Roman" w:hAnsi="Times New Roman" w:cs="Times New Roman"/>
                <w:sz w:val="20"/>
                <w:szCs w:val="20"/>
              </w:rPr>
              <w:t>/2</w:t>
            </w:r>
            <w:r>
              <w:rPr>
                <w:rFonts w:ascii="Times New Roman" w:hAnsi="Times New Roman" w:cs="Times New Roman"/>
                <w:sz w:val="20"/>
                <w:szCs w:val="20"/>
              </w:rPr>
              <w:t>3</w:t>
            </w:r>
          </w:p>
        </w:tc>
        <w:tc>
          <w:tcPr>
            <w:tcW w:w="917" w:type="dxa"/>
            <w:vAlign w:val="center"/>
          </w:tcPr>
          <w:p w14:paraId="17646041" w14:textId="1B6BFCCE" w:rsidR="00414E79" w:rsidRPr="0059070A" w:rsidRDefault="00414E79" w:rsidP="005262FC">
            <w:pPr>
              <w:tabs>
                <w:tab w:val="left" w:pos="360"/>
                <w:tab w:val="center" w:pos="1527"/>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59070A">
              <w:rPr>
                <w:rFonts w:ascii="Times New Roman" w:hAnsi="Times New Roman" w:cs="Times New Roman"/>
                <w:sz w:val="20"/>
                <w:szCs w:val="20"/>
              </w:rPr>
              <w:t>202</w:t>
            </w:r>
            <w:r>
              <w:rPr>
                <w:rFonts w:ascii="Times New Roman" w:hAnsi="Times New Roman" w:cs="Times New Roman"/>
                <w:sz w:val="20"/>
                <w:szCs w:val="20"/>
              </w:rPr>
              <w:t>3</w:t>
            </w:r>
            <w:r w:rsidRPr="0059070A">
              <w:rPr>
                <w:rFonts w:ascii="Times New Roman" w:hAnsi="Times New Roman" w:cs="Times New Roman"/>
                <w:sz w:val="20"/>
                <w:szCs w:val="20"/>
              </w:rPr>
              <w:t>/2</w:t>
            </w:r>
            <w:r>
              <w:rPr>
                <w:rFonts w:ascii="Times New Roman" w:hAnsi="Times New Roman" w:cs="Times New Roman"/>
                <w:sz w:val="20"/>
                <w:szCs w:val="20"/>
              </w:rPr>
              <w:t>4</w:t>
            </w:r>
          </w:p>
        </w:tc>
      </w:tr>
      <w:tr w:rsidR="00414E79" w:rsidRPr="000B4C94" w14:paraId="1123B22A" w14:textId="77777777" w:rsidTr="005262FC">
        <w:trPr>
          <w:cnfStyle w:val="000000100000" w:firstRow="0" w:lastRow="0" w:firstColumn="0" w:lastColumn="0" w:oddVBand="0" w:evenVBand="0" w:oddHBand="1" w:evenHBand="0" w:firstRowFirstColumn="0" w:firstRowLastColumn="0" w:lastRowFirstColumn="0" w:lastRowLastColumn="0"/>
          <w:trHeight w:hRule="exact" w:val="357"/>
          <w:jc w:val="center"/>
        </w:trPr>
        <w:tc>
          <w:tcPr>
            <w:cnfStyle w:val="001000000000" w:firstRow="0" w:lastRow="0" w:firstColumn="1" w:lastColumn="0" w:oddVBand="0" w:evenVBand="0" w:oddHBand="0" w:evenHBand="0" w:firstRowFirstColumn="0" w:firstRowLastColumn="0" w:lastRowFirstColumn="0" w:lastRowLastColumn="0"/>
            <w:tcW w:w="2060" w:type="dxa"/>
            <w:gridSpan w:val="2"/>
            <w:tcBorders>
              <w:bottom w:val="single" w:sz="8" w:space="0" w:color="FFFFFF" w:themeColor="background1"/>
            </w:tcBorders>
            <w:vAlign w:val="center"/>
          </w:tcPr>
          <w:p w14:paraId="6427B46D" w14:textId="77777777" w:rsidR="00414E79" w:rsidRPr="0059070A" w:rsidRDefault="00414E79" w:rsidP="005262FC">
            <w:pPr>
              <w:contextualSpacing/>
              <w:rPr>
                <w:rFonts w:ascii="Times New Roman" w:hAnsi="Times New Roman" w:cs="Times New Roman"/>
                <w:b w:val="0"/>
                <w:sz w:val="20"/>
                <w:szCs w:val="20"/>
              </w:rPr>
            </w:pPr>
            <w:r w:rsidRPr="0059070A">
              <w:rPr>
                <w:rFonts w:ascii="Times New Roman" w:hAnsi="Times New Roman" w:cs="Times New Roman"/>
                <w:sz w:val="20"/>
                <w:szCs w:val="20"/>
              </w:rPr>
              <w:t>Operating Revenues</w:t>
            </w:r>
          </w:p>
        </w:tc>
        <w:tc>
          <w:tcPr>
            <w:tcW w:w="1080" w:type="dxa"/>
            <w:vAlign w:val="center"/>
          </w:tcPr>
          <w:p w14:paraId="6241B59A" w14:textId="743B99AF" w:rsidR="00414E79" w:rsidRPr="0059070A" w:rsidRDefault="007E1611" w:rsidP="005262FC">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$153.9</w:t>
            </w:r>
          </w:p>
        </w:tc>
        <w:tc>
          <w:tcPr>
            <w:tcW w:w="1080" w:type="dxa"/>
            <w:vAlign w:val="center"/>
          </w:tcPr>
          <w:p w14:paraId="0DE0D1DB" w14:textId="3375AFC1" w:rsidR="00414E79" w:rsidRPr="0059070A" w:rsidRDefault="007E1611" w:rsidP="005262FC">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$159.4</w:t>
            </w:r>
          </w:p>
        </w:tc>
        <w:tc>
          <w:tcPr>
            <w:tcW w:w="1080" w:type="dxa"/>
            <w:vAlign w:val="center"/>
          </w:tcPr>
          <w:p w14:paraId="04DF6A2C" w14:textId="6E5DB537" w:rsidR="00414E79" w:rsidRPr="0059070A" w:rsidRDefault="007E1611" w:rsidP="005262FC">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$164.3</w:t>
            </w:r>
          </w:p>
        </w:tc>
        <w:tc>
          <w:tcPr>
            <w:tcW w:w="1080" w:type="dxa"/>
            <w:vAlign w:val="center"/>
          </w:tcPr>
          <w:p w14:paraId="09F8C286" w14:textId="0CA3342B" w:rsidR="00414E79" w:rsidRPr="0059070A" w:rsidRDefault="007E1611" w:rsidP="005262FC">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$169.1</w:t>
            </w:r>
          </w:p>
        </w:tc>
        <w:tc>
          <w:tcPr>
            <w:tcW w:w="990" w:type="dxa"/>
            <w:vAlign w:val="center"/>
          </w:tcPr>
          <w:p w14:paraId="274B4C6C" w14:textId="29830BC4" w:rsidR="00414E79" w:rsidRPr="0059070A" w:rsidRDefault="007E1611" w:rsidP="005262FC">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$174.4</w:t>
            </w:r>
          </w:p>
        </w:tc>
        <w:tc>
          <w:tcPr>
            <w:tcW w:w="990" w:type="dxa"/>
            <w:vAlign w:val="center"/>
          </w:tcPr>
          <w:p w14:paraId="0EBF987D" w14:textId="7C2D8363" w:rsidR="00414E79" w:rsidRPr="0059070A" w:rsidRDefault="007E1611" w:rsidP="005262FC">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$180.8</w:t>
            </w:r>
          </w:p>
        </w:tc>
        <w:tc>
          <w:tcPr>
            <w:tcW w:w="917" w:type="dxa"/>
            <w:vAlign w:val="center"/>
          </w:tcPr>
          <w:p w14:paraId="6749B14D" w14:textId="445B64EC" w:rsidR="00414E79" w:rsidRPr="0059070A" w:rsidRDefault="007E1611" w:rsidP="005262FC">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$186.7</w:t>
            </w:r>
          </w:p>
        </w:tc>
      </w:tr>
      <w:tr w:rsidR="00414E79" w:rsidRPr="000B4C94" w14:paraId="47EB8ACC" w14:textId="77777777" w:rsidTr="005262FC">
        <w:trPr>
          <w:gridBefore w:val="1"/>
          <w:wBefore w:w="22" w:type="dxa"/>
          <w:trHeight w:hRule="exact" w:val="317"/>
          <w:jc w:val="center"/>
        </w:trPr>
        <w:tc>
          <w:tcPr>
            <w:cnfStyle w:val="001000000000" w:firstRow="0" w:lastRow="0" w:firstColumn="1" w:lastColumn="0" w:oddVBand="0" w:evenVBand="0" w:oddHBand="0" w:evenHBand="0" w:firstRowFirstColumn="0" w:firstRowLastColumn="0" w:lastRowFirstColumn="0" w:lastRowLastColumn="0"/>
            <w:tcW w:w="2038" w:type="dxa"/>
            <w:tcBorders>
              <w:bottom w:val="single" w:sz="8" w:space="0" w:color="FFFFFF" w:themeColor="background1"/>
            </w:tcBorders>
            <w:vAlign w:val="center"/>
          </w:tcPr>
          <w:p w14:paraId="2176AAE9" w14:textId="77777777" w:rsidR="00414E79" w:rsidRPr="0059070A" w:rsidRDefault="00414E79" w:rsidP="005262FC">
            <w:pPr>
              <w:contextualSpacing/>
              <w:rPr>
                <w:rFonts w:ascii="Times New Roman" w:hAnsi="Times New Roman" w:cs="Times New Roman"/>
                <w:b w:val="0"/>
                <w:sz w:val="20"/>
                <w:szCs w:val="20"/>
              </w:rPr>
            </w:pPr>
            <w:r w:rsidRPr="0059070A">
              <w:rPr>
                <w:rFonts w:ascii="Times New Roman" w:hAnsi="Times New Roman" w:cs="Times New Roman"/>
                <w:sz w:val="20"/>
                <w:szCs w:val="20"/>
              </w:rPr>
              <w:t>Operating Expense</w:t>
            </w:r>
          </w:p>
        </w:tc>
        <w:tc>
          <w:tcPr>
            <w:tcW w:w="1080" w:type="dxa"/>
            <w:vAlign w:val="center"/>
          </w:tcPr>
          <w:p w14:paraId="60876237" w14:textId="6D98A76A" w:rsidR="00414E79" w:rsidRPr="0059070A" w:rsidRDefault="007E1611" w:rsidP="005262FC">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(143.7)</w:t>
            </w:r>
          </w:p>
        </w:tc>
        <w:tc>
          <w:tcPr>
            <w:tcW w:w="1080" w:type="dxa"/>
            <w:vAlign w:val="center"/>
          </w:tcPr>
          <w:p w14:paraId="44CFD350" w14:textId="22B3C707" w:rsidR="00414E79" w:rsidRPr="0059070A" w:rsidRDefault="007E1611" w:rsidP="005262FC">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(154.0)</w:t>
            </w:r>
          </w:p>
        </w:tc>
        <w:tc>
          <w:tcPr>
            <w:tcW w:w="1080" w:type="dxa"/>
            <w:vAlign w:val="center"/>
          </w:tcPr>
          <w:p w14:paraId="73EA7D26" w14:textId="6D70B52C" w:rsidR="00414E79" w:rsidRPr="0059070A" w:rsidRDefault="007E1611" w:rsidP="005262FC">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(162.0)</w:t>
            </w:r>
          </w:p>
        </w:tc>
        <w:tc>
          <w:tcPr>
            <w:tcW w:w="1080" w:type="dxa"/>
            <w:vAlign w:val="center"/>
          </w:tcPr>
          <w:p w14:paraId="05D019E3" w14:textId="413CECE5" w:rsidR="00414E79" w:rsidRPr="00C854EE" w:rsidRDefault="007E1611" w:rsidP="005262FC">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(162.0)</w:t>
            </w:r>
          </w:p>
        </w:tc>
        <w:tc>
          <w:tcPr>
            <w:tcW w:w="990" w:type="dxa"/>
            <w:vAlign w:val="center"/>
          </w:tcPr>
          <w:p w14:paraId="1B7DCF57" w14:textId="0261B007" w:rsidR="00414E79" w:rsidRPr="0059070A" w:rsidRDefault="007E1611" w:rsidP="005262FC">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(163.3)</w:t>
            </w:r>
          </w:p>
        </w:tc>
        <w:tc>
          <w:tcPr>
            <w:tcW w:w="990" w:type="dxa"/>
            <w:vAlign w:val="center"/>
          </w:tcPr>
          <w:p w14:paraId="44880716" w14:textId="1EC1D1B1" w:rsidR="00414E79" w:rsidRPr="0059070A" w:rsidRDefault="007E1611" w:rsidP="005262FC">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(168.9)</w:t>
            </w:r>
          </w:p>
        </w:tc>
        <w:tc>
          <w:tcPr>
            <w:tcW w:w="917" w:type="dxa"/>
            <w:vAlign w:val="center"/>
          </w:tcPr>
          <w:p w14:paraId="31849F99" w14:textId="1144DA3E" w:rsidR="00414E79" w:rsidRPr="0059070A" w:rsidRDefault="007E1611" w:rsidP="005262FC">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(174.7)</w:t>
            </w:r>
          </w:p>
        </w:tc>
      </w:tr>
      <w:tr w:rsidR="00414E79" w:rsidRPr="000B4C94" w14:paraId="2942E9A9" w14:textId="77777777" w:rsidTr="005262FC">
        <w:trPr>
          <w:gridBefore w:val="1"/>
          <w:cnfStyle w:val="000000100000" w:firstRow="0" w:lastRow="0" w:firstColumn="0" w:lastColumn="0" w:oddVBand="0" w:evenVBand="0" w:oddHBand="1" w:evenHBand="0" w:firstRowFirstColumn="0" w:firstRowLastColumn="0" w:lastRowFirstColumn="0" w:lastRowLastColumn="0"/>
          <w:wBefore w:w="22" w:type="dxa"/>
          <w:trHeight w:hRule="exact" w:val="542"/>
          <w:jc w:val="center"/>
        </w:trPr>
        <w:tc>
          <w:tcPr>
            <w:cnfStyle w:val="001000000000" w:firstRow="0" w:lastRow="0" w:firstColumn="1" w:lastColumn="0" w:oddVBand="0" w:evenVBand="0" w:oddHBand="0" w:evenHBand="0" w:firstRowFirstColumn="0" w:firstRowLastColumn="0" w:lastRowFirstColumn="0" w:lastRowLastColumn="0"/>
            <w:tcW w:w="2038" w:type="dxa"/>
            <w:tcBorders>
              <w:bottom w:val="single" w:sz="8" w:space="0" w:color="FFFFFF" w:themeColor="background1"/>
            </w:tcBorders>
            <w:vAlign w:val="center"/>
          </w:tcPr>
          <w:p w14:paraId="32388243" w14:textId="77777777" w:rsidR="00414E79" w:rsidRPr="0059070A" w:rsidRDefault="00414E79" w:rsidP="005262FC">
            <w:pPr>
              <w:contextualSpacing/>
              <w:rPr>
                <w:rFonts w:ascii="Times New Roman" w:hAnsi="Times New Roman" w:cs="Times New Roman"/>
                <w:color w:val="auto"/>
                <w:sz w:val="20"/>
                <w:szCs w:val="20"/>
              </w:rPr>
            </w:pPr>
            <w:r w:rsidRPr="0059070A">
              <w:rPr>
                <w:rFonts w:ascii="Times New Roman" w:hAnsi="Times New Roman" w:cs="Times New Roman"/>
                <w:sz w:val="20"/>
                <w:szCs w:val="20"/>
              </w:rPr>
              <w:t>Operating Net Increase (Decrease)</w:t>
            </w:r>
          </w:p>
        </w:tc>
        <w:tc>
          <w:tcPr>
            <w:tcW w:w="1080" w:type="dxa"/>
            <w:vAlign w:val="center"/>
          </w:tcPr>
          <w:p w14:paraId="3CEA0920" w14:textId="4D3154BD" w:rsidR="00414E79" w:rsidRPr="0059070A" w:rsidRDefault="007E1611" w:rsidP="005262FC">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$10.2</w:t>
            </w:r>
          </w:p>
        </w:tc>
        <w:tc>
          <w:tcPr>
            <w:tcW w:w="1080" w:type="dxa"/>
            <w:vAlign w:val="center"/>
          </w:tcPr>
          <w:p w14:paraId="796CE0B8" w14:textId="1280D58B" w:rsidR="00414E79" w:rsidRPr="0059070A" w:rsidRDefault="007E1611" w:rsidP="005262FC">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$5.4</w:t>
            </w:r>
          </w:p>
        </w:tc>
        <w:tc>
          <w:tcPr>
            <w:tcW w:w="1080" w:type="dxa"/>
            <w:vAlign w:val="center"/>
          </w:tcPr>
          <w:p w14:paraId="60F5F9B7" w14:textId="54A62805" w:rsidR="00414E79" w:rsidRPr="0059070A" w:rsidRDefault="007E1611" w:rsidP="005262FC">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$2.3</w:t>
            </w:r>
          </w:p>
        </w:tc>
        <w:tc>
          <w:tcPr>
            <w:tcW w:w="1080" w:type="dxa"/>
            <w:vAlign w:val="center"/>
          </w:tcPr>
          <w:p w14:paraId="5779B985" w14:textId="63F2996E" w:rsidR="00414E79" w:rsidRPr="0059070A" w:rsidRDefault="007E1611" w:rsidP="005262FC">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$7.1</w:t>
            </w:r>
          </w:p>
        </w:tc>
        <w:tc>
          <w:tcPr>
            <w:tcW w:w="990" w:type="dxa"/>
            <w:vAlign w:val="center"/>
          </w:tcPr>
          <w:p w14:paraId="73CF0D90" w14:textId="7645FDA0" w:rsidR="00414E79" w:rsidRPr="0059070A" w:rsidRDefault="007E1611" w:rsidP="005262FC">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$11.1</w:t>
            </w:r>
          </w:p>
        </w:tc>
        <w:tc>
          <w:tcPr>
            <w:tcW w:w="990" w:type="dxa"/>
            <w:vAlign w:val="center"/>
          </w:tcPr>
          <w:p w14:paraId="69483CE1" w14:textId="640151A6" w:rsidR="00414E79" w:rsidRPr="0059070A" w:rsidRDefault="007E1611" w:rsidP="005262FC">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$11.9</w:t>
            </w:r>
          </w:p>
        </w:tc>
        <w:tc>
          <w:tcPr>
            <w:tcW w:w="917" w:type="dxa"/>
            <w:vAlign w:val="center"/>
          </w:tcPr>
          <w:p w14:paraId="13546F6A" w14:textId="380AD685" w:rsidR="00414E79" w:rsidRPr="0059070A" w:rsidRDefault="007E1611" w:rsidP="005262FC">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$12.0</w:t>
            </w:r>
          </w:p>
        </w:tc>
      </w:tr>
      <w:tr w:rsidR="00414E79" w:rsidRPr="000B4C94" w14:paraId="2CADE801" w14:textId="77777777" w:rsidTr="005262FC">
        <w:trPr>
          <w:gridBefore w:val="1"/>
          <w:wBefore w:w="22" w:type="dxa"/>
          <w:trHeight w:hRule="exact" w:val="533"/>
          <w:jc w:val="center"/>
        </w:trPr>
        <w:tc>
          <w:tcPr>
            <w:cnfStyle w:val="001000000000" w:firstRow="0" w:lastRow="0" w:firstColumn="1" w:lastColumn="0" w:oddVBand="0" w:evenVBand="0" w:oddHBand="0" w:evenHBand="0" w:firstRowFirstColumn="0" w:firstRowLastColumn="0" w:lastRowFirstColumn="0" w:lastRowLastColumn="0"/>
            <w:tcW w:w="2038" w:type="dxa"/>
            <w:tcBorders>
              <w:bottom w:val="single" w:sz="8" w:space="0" w:color="FFFFFF" w:themeColor="background1"/>
            </w:tcBorders>
            <w:vAlign w:val="center"/>
          </w:tcPr>
          <w:p w14:paraId="070ABC0F" w14:textId="77777777" w:rsidR="00414E79" w:rsidRPr="0059070A" w:rsidRDefault="00414E79" w:rsidP="005262FC">
            <w:pPr>
              <w:contextualSpacing/>
              <w:rPr>
                <w:rFonts w:ascii="Times New Roman" w:hAnsi="Times New Roman" w:cs="Times New Roman"/>
                <w:b w:val="0"/>
                <w:sz w:val="20"/>
                <w:szCs w:val="20"/>
              </w:rPr>
            </w:pPr>
            <w:r w:rsidRPr="0059070A">
              <w:rPr>
                <w:rFonts w:ascii="Times New Roman" w:hAnsi="Times New Roman" w:cs="Times New Roman"/>
                <w:sz w:val="20"/>
                <w:szCs w:val="20"/>
              </w:rPr>
              <w:t>Other Sources of Funds</w:t>
            </w:r>
          </w:p>
        </w:tc>
        <w:tc>
          <w:tcPr>
            <w:tcW w:w="1080" w:type="dxa"/>
            <w:vAlign w:val="center"/>
          </w:tcPr>
          <w:p w14:paraId="41DD3FC0" w14:textId="22314661" w:rsidR="00414E79" w:rsidRPr="0059070A" w:rsidRDefault="007E1611" w:rsidP="005262FC">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112.8</w:t>
            </w:r>
          </w:p>
        </w:tc>
        <w:tc>
          <w:tcPr>
            <w:tcW w:w="1080" w:type="dxa"/>
            <w:vAlign w:val="center"/>
          </w:tcPr>
          <w:p w14:paraId="5FE37A58" w14:textId="1586CD62" w:rsidR="00414E79" w:rsidRPr="0059070A" w:rsidRDefault="007E1611" w:rsidP="005262FC">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98.6</w:t>
            </w:r>
          </w:p>
        </w:tc>
        <w:tc>
          <w:tcPr>
            <w:tcW w:w="1080" w:type="dxa"/>
            <w:vAlign w:val="center"/>
          </w:tcPr>
          <w:p w14:paraId="34D97AC1" w14:textId="603ED261" w:rsidR="00414E79" w:rsidRPr="0059070A" w:rsidRDefault="007E1611" w:rsidP="005262FC">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125.3</w:t>
            </w:r>
          </w:p>
        </w:tc>
        <w:tc>
          <w:tcPr>
            <w:tcW w:w="1080" w:type="dxa"/>
            <w:vAlign w:val="center"/>
          </w:tcPr>
          <w:p w14:paraId="16471076" w14:textId="643D5C3B" w:rsidR="00414E79" w:rsidRPr="0059070A" w:rsidRDefault="007E1611" w:rsidP="005262FC">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199.8</w:t>
            </w:r>
          </w:p>
        </w:tc>
        <w:tc>
          <w:tcPr>
            <w:tcW w:w="990" w:type="dxa"/>
            <w:vAlign w:val="center"/>
          </w:tcPr>
          <w:p w14:paraId="3F4F4A3F" w14:textId="0E3B0F11" w:rsidR="00414E79" w:rsidRPr="0059070A" w:rsidRDefault="007E1611" w:rsidP="005262FC">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215.9</w:t>
            </w:r>
          </w:p>
        </w:tc>
        <w:tc>
          <w:tcPr>
            <w:tcW w:w="990" w:type="dxa"/>
            <w:vAlign w:val="center"/>
          </w:tcPr>
          <w:p w14:paraId="5FE02262" w14:textId="273BB483" w:rsidR="00414E79" w:rsidRPr="0059070A" w:rsidRDefault="007E1611" w:rsidP="005262FC">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186.3</w:t>
            </w:r>
          </w:p>
        </w:tc>
        <w:tc>
          <w:tcPr>
            <w:tcW w:w="917" w:type="dxa"/>
            <w:vAlign w:val="center"/>
          </w:tcPr>
          <w:p w14:paraId="3493FF17" w14:textId="6D5E3EE6" w:rsidR="00414E79" w:rsidRPr="0059070A" w:rsidRDefault="007E1611" w:rsidP="005262FC">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162.1</w:t>
            </w:r>
          </w:p>
        </w:tc>
      </w:tr>
      <w:tr w:rsidR="00414E79" w:rsidRPr="000B4C94" w14:paraId="214B2274" w14:textId="77777777" w:rsidTr="005262FC">
        <w:trPr>
          <w:gridBefore w:val="1"/>
          <w:cnfStyle w:val="000000100000" w:firstRow="0" w:lastRow="0" w:firstColumn="0" w:lastColumn="0" w:oddVBand="0" w:evenVBand="0" w:oddHBand="1" w:evenHBand="0" w:firstRowFirstColumn="0" w:firstRowLastColumn="0" w:lastRowFirstColumn="0" w:lastRowLastColumn="0"/>
          <w:wBefore w:w="22" w:type="dxa"/>
          <w:trHeight w:hRule="exact" w:val="362"/>
          <w:jc w:val="center"/>
        </w:trPr>
        <w:tc>
          <w:tcPr>
            <w:cnfStyle w:val="001000000000" w:firstRow="0" w:lastRow="0" w:firstColumn="1" w:lastColumn="0" w:oddVBand="0" w:evenVBand="0" w:oddHBand="0" w:evenHBand="0" w:firstRowFirstColumn="0" w:firstRowLastColumn="0" w:lastRowFirstColumn="0" w:lastRowLastColumn="0"/>
            <w:tcW w:w="2038" w:type="dxa"/>
            <w:tcBorders>
              <w:bottom w:val="single" w:sz="8" w:space="0" w:color="FFFFFF" w:themeColor="background1"/>
            </w:tcBorders>
            <w:vAlign w:val="center"/>
          </w:tcPr>
          <w:p w14:paraId="26AA2F41" w14:textId="77777777" w:rsidR="00414E79" w:rsidRPr="0059070A" w:rsidRDefault="00414E79" w:rsidP="005262FC">
            <w:pPr>
              <w:contextualSpacing/>
              <w:rPr>
                <w:rFonts w:ascii="Times New Roman" w:hAnsi="Times New Roman" w:cs="Times New Roman"/>
                <w:b w:val="0"/>
                <w:sz w:val="20"/>
                <w:szCs w:val="20"/>
              </w:rPr>
            </w:pPr>
            <w:r w:rsidRPr="0059070A">
              <w:rPr>
                <w:rFonts w:ascii="Times New Roman" w:hAnsi="Times New Roman" w:cs="Times New Roman"/>
                <w:sz w:val="20"/>
                <w:szCs w:val="20"/>
              </w:rPr>
              <w:t>Debt Service</w:t>
            </w:r>
          </w:p>
        </w:tc>
        <w:tc>
          <w:tcPr>
            <w:tcW w:w="1080" w:type="dxa"/>
            <w:vAlign w:val="center"/>
          </w:tcPr>
          <w:p w14:paraId="69E38FA0" w14:textId="62C0A28F" w:rsidR="00414E79" w:rsidRPr="0059070A" w:rsidRDefault="007E1611" w:rsidP="005262FC">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(21.9)</w:t>
            </w:r>
          </w:p>
        </w:tc>
        <w:tc>
          <w:tcPr>
            <w:tcW w:w="1080" w:type="dxa"/>
            <w:vAlign w:val="center"/>
          </w:tcPr>
          <w:p w14:paraId="5A09E41C" w14:textId="32046859" w:rsidR="00414E79" w:rsidRPr="0059070A" w:rsidRDefault="007E1611" w:rsidP="005262FC">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(24.</w:t>
            </w:r>
            <w:r w:rsidR="00F6303F">
              <w:rPr>
                <w:rFonts w:ascii="Times New Roman" w:hAnsi="Times New Roman" w:cs="Times New Roman"/>
                <w:sz w:val="20"/>
                <w:szCs w:val="20"/>
              </w:rPr>
              <w:t>8</w:t>
            </w:r>
            <w:r>
              <w:rPr>
                <w:rFonts w:ascii="Times New Roman" w:hAnsi="Times New Roman" w:cs="Times New Roman"/>
                <w:sz w:val="20"/>
                <w:szCs w:val="20"/>
              </w:rPr>
              <w:t>)</w:t>
            </w:r>
          </w:p>
        </w:tc>
        <w:tc>
          <w:tcPr>
            <w:tcW w:w="1080" w:type="dxa"/>
            <w:vAlign w:val="center"/>
          </w:tcPr>
          <w:p w14:paraId="4880F118" w14:textId="609703A4" w:rsidR="00414E79" w:rsidRPr="0059070A" w:rsidRDefault="007E1611" w:rsidP="005262FC">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(26.8)</w:t>
            </w:r>
          </w:p>
        </w:tc>
        <w:tc>
          <w:tcPr>
            <w:tcW w:w="1080" w:type="dxa"/>
            <w:vAlign w:val="center"/>
          </w:tcPr>
          <w:p w14:paraId="15AE0747" w14:textId="56DC9A6C" w:rsidR="00414E79" w:rsidRPr="0059070A" w:rsidRDefault="007E1611" w:rsidP="005262FC">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(28.0)</w:t>
            </w:r>
          </w:p>
        </w:tc>
        <w:tc>
          <w:tcPr>
            <w:tcW w:w="990" w:type="dxa"/>
            <w:vAlign w:val="center"/>
          </w:tcPr>
          <w:p w14:paraId="5059F54D" w14:textId="19B2CDA8" w:rsidR="00414E79" w:rsidRPr="0059070A" w:rsidRDefault="007E1611" w:rsidP="005262FC">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(28.5)</w:t>
            </w:r>
          </w:p>
        </w:tc>
        <w:tc>
          <w:tcPr>
            <w:tcW w:w="990" w:type="dxa"/>
            <w:vAlign w:val="center"/>
          </w:tcPr>
          <w:p w14:paraId="262461E4" w14:textId="3CEB0DDF" w:rsidR="00414E79" w:rsidRPr="0059070A" w:rsidRDefault="007E1611" w:rsidP="005262FC">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(25.7)</w:t>
            </w:r>
          </w:p>
        </w:tc>
        <w:tc>
          <w:tcPr>
            <w:tcW w:w="917" w:type="dxa"/>
            <w:vAlign w:val="center"/>
          </w:tcPr>
          <w:p w14:paraId="5CCC3647" w14:textId="1FD727DF" w:rsidR="00414E79" w:rsidRPr="0059070A" w:rsidRDefault="007E1611" w:rsidP="005262FC">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(33.3)</w:t>
            </w:r>
          </w:p>
        </w:tc>
      </w:tr>
      <w:tr w:rsidR="00414E79" w:rsidRPr="000B4C94" w14:paraId="42CAB20A" w14:textId="77777777" w:rsidTr="005262FC">
        <w:trPr>
          <w:gridBefore w:val="1"/>
          <w:wBefore w:w="22" w:type="dxa"/>
          <w:trHeight w:hRule="exact" w:val="362"/>
          <w:jc w:val="center"/>
        </w:trPr>
        <w:tc>
          <w:tcPr>
            <w:cnfStyle w:val="001000000000" w:firstRow="0" w:lastRow="0" w:firstColumn="1" w:lastColumn="0" w:oddVBand="0" w:evenVBand="0" w:oddHBand="0" w:evenHBand="0" w:firstRowFirstColumn="0" w:firstRowLastColumn="0" w:lastRowFirstColumn="0" w:lastRowLastColumn="0"/>
            <w:tcW w:w="2038" w:type="dxa"/>
            <w:tcBorders>
              <w:bottom w:val="single" w:sz="8" w:space="0" w:color="FFFFFF" w:themeColor="background1"/>
            </w:tcBorders>
            <w:vAlign w:val="center"/>
          </w:tcPr>
          <w:p w14:paraId="5A757BC1" w14:textId="77777777" w:rsidR="00414E79" w:rsidRPr="0059070A" w:rsidRDefault="00414E79" w:rsidP="005262FC">
            <w:pPr>
              <w:contextualSpacing/>
              <w:rPr>
                <w:rFonts w:ascii="Times New Roman" w:hAnsi="Times New Roman" w:cs="Times New Roman"/>
                <w:b w:val="0"/>
                <w:sz w:val="20"/>
                <w:szCs w:val="20"/>
              </w:rPr>
            </w:pPr>
            <w:r w:rsidRPr="0059070A">
              <w:rPr>
                <w:rFonts w:ascii="Times New Roman" w:hAnsi="Times New Roman" w:cs="Times New Roman"/>
                <w:sz w:val="20"/>
                <w:szCs w:val="20"/>
              </w:rPr>
              <w:t>Capital Program</w:t>
            </w:r>
          </w:p>
        </w:tc>
        <w:tc>
          <w:tcPr>
            <w:tcW w:w="1080" w:type="dxa"/>
            <w:vAlign w:val="center"/>
          </w:tcPr>
          <w:p w14:paraId="68197D1E" w14:textId="57FCFA9C" w:rsidR="00414E79" w:rsidRPr="0059070A" w:rsidRDefault="007E1611" w:rsidP="005262FC">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(56.9)</w:t>
            </w:r>
          </w:p>
        </w:tc>
        <w:tc>
          <w:tcPr>
            <w:tcW w:w="1080" w:type="dxa"/>
            <w:vAlign w:val="center"/>
          </w:tcPr>
          <w:p w14:paraId="34E1D838" w14:textId="05DF5F52" w:rsidR="00414E79" w:rsidRPr="0059070A" w:rsidRDefault="007E1611" w:rsidP="005262FC">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(63.5)</w:t>
            </w:r>
          </w:p>
        </w:tc>
        <w:tc>
          <w:tcPr>
            <w:tcW w:w="1080" w:type="dxa"/>
            <w:vAlign w:val="center"/>
          </w:tcPr>
          <w:p w14:paraId="57309A88" w14:textId="3E01C474" w:rsidR="00414E79" w:rsidRPr="0059070A" w:rsidRDefault="007E1611" w:rsidP="005262FC">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(93.6)</w:t>
            </w:r>
          </w:p>
        </w:tc>
        <w:tc>
          <w:tcPr>
            <w:tcW w:w="1080" w:type="dxa"/>
            <w:vAlign w:val="center"/>
          </w:tcPr>
          <w:p w14:paraId="7EA54A77" w14:textId="2CBB2BEE" w:rsidR="00414E79" w:rsidRPr="0059070A" w:rsidRDefault="007E1611" w:rsidP="005262FC">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(179.3)</w:t>
            </w:r>
          </w:p>
        </w:tc>
        <w:tc>
          <w:tcPr>
            <w:tcW w:w="990" w:type="dxa"/>
            <w:vAlign w:val="center"/>
          </w:tcPr>
          <w:p w14:paraId="2626A920" w14:textId="3CFEE8A3" w:rsidR="00414E79" w:rsidRPr="0059070A" w:rsidRDefault="007E1611" w:rsidP="005262FC">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(153.</w:t>
            </w:r>
            <w:r w:rsidR="000E2692">
              <w:rPr>
                <w:rFonts w:ascii="Times New Roman" w:hAnsi="Times New Roman" w:cs="Times New Roman"/>
                <w:sz w:val="20"/>
                <w:szCs w:val="20"/>
              </w:rPr>
              <w:t>1</w:t>
            </w:r>
            <w:r>
              <w:rPr>
                <w:rFonts w:ascii="Times New Roman" w:hAnsi="Times New Roman" w:cs="Times New Roman"/>
                <w:sz w:val="20"/>
                <w:szCs w:val="20"/>
              </w:rPr>
              <w:t>)</w:t>
            </w:r>
          </w:p>
        </w:tc>
        <w:tc>
          <w:tcPr>
            <w:tcW w:w="990" w:type="dxa"/>
            <w:vAlign w:val="center"/>
          </w:tcPr>
          <w:p w14:paraId="3432E7B3" w14:textId="3D98F404" w:rsidR="00414E79" w:rsidRPr="0059070A" w:rsidRDefault="007E1611" w:rsidP="005262FC">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(101.2)</w:t>
            </w:r>
          </w:p>
        </w:tc>
        <w:tc>
          <w:tcPr>
            <w:tcW w:w="917" w:type="dxa"/>
            <w:vAlign w:val="center"/>
          </w:tcPr>
          <w:p w14:paraId="1FEF84E9" w14:textId="01EA57E8" w:rsidR="00414E79" w:rsidRPr="0059070A" w:rsidRDefault="007E1611" w:rsidP="005262FC">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(100.9)</w:t>
            </w:r>
          </w:p>
        </w:tc>
      </w:tr>
      <w:tr w:rsidR="00414E79" w:rsidRPr="000B4C94" w14:paraId="4D34FBCE" w14:textId="77777777" w:rsidTr="005262FC">
        <w:trPr>
          <w:gridBefore w:val="1"/>
          <w:cnfStyle w:val="000000100000" w:firstRow="0" w:lastRow="0" w:firstColumn="0" w:lastColumn="0" w:oddVBand="0" w:evenVBand="0" w:oddHBand="1" w:evenHBand="0" w:firstRowFirstColumn="0" w:firstRowLastColumn="0" w:lastRowFirstColumn="0" w:lastRowLastColumn="0"/>
          <w:wBefore w:w="22" w:type="dxa"/>
          <w:trHeight w:hRule="exact" w:val="542"/>
          <w:jc w:val="center"/>
        </w:trPr>
        <w:tc>
          <w:tcPr>
            <w:cnfStyle w:val="001000000000" w:firstRow="0" w:lastRow="0" w:firstColumn="1" w:lastColumn="0" w:oddVBand="0" w:evenVBand="0" w:oddHBand="0" w:evenHBand="0" w:firstRowFirstColumn="0" w:firstRowLastColumn="0" w:lastRowFirstColumn="0" w:lastRowLastColumn="0"/>
            <w:tcW w:w="2038" w:type="dxa"/>
            <w:tcBorders>
              <w:bottom w:val="single" w:sz="8" w:space="0" w:color="FFFFFF" w:themeColor="background1"/>
            </w:tcBorders>
            <w:vAlign w:val="center"/>
          </w:tcPr>
          <w:p w14:paraId="751D09D6" w14:textId="77777777" w:rsidR="00414E79" w:rsidRPr="0059070A" w:rsidRDefault="00414E79" w:rsidP="005262FC">
            <w:pPr>
              <w:contextualSpacing/>
              <w:rPr>
                <w:rFonts w:ascii="Times New Roman" w:hAnsi="Times New Roman" w:cs="Times New Roman"/>
                <w:color w:val="auto"/>
                <w:sz w:val="20"/>
                <w:szCs w:val="20"/>
              </w:rPr>
            </w:pPr>
            <w:r w:rsidRPr="0059070A">
              <w:rPr>
                <w:rFonts w:ascii="Times New Roman" w:hAnsi="Times New Roman" w:cs="Times New Roman"/>
                <w:sz w:val="20"/>
                <w:szCs w:val="20"/>
              </w:rPr>
              <w:t>Non-Operating Increase (Decrease)</w:t>
            </w:r>
          </w:p>
        </w:tc>
        <w:tc>
          <w:tcPr>
            <w:tcW w:w="1080" w:type="dxa"/>
            <w:vAlign w:val="center"/>
          </w:tcPr>
          <w:p w14:paraId="760F5FA2" w14:textId="122E8B6B" w:rsidR="00414E79" w:rsidRPr="0059070A" w:rsidRDefault="007E1611" w:rsidP="005262FC">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$34.0</w:t>
            </w:r>
          </w:p>
        </w:tc>
        <w:tc>
          <w:tcPr>
            <w:tcW w:w="1080" w:type="dxa"/>
            <w:vAlign w:val="center"/>
          </w:tcPr>
          <w:p w14:paraId="46D4C4A9" w14:textId="7547DDE7" w:rsidR="00414E79" w:rsidRPr="0059070A" w:rsidRDefault="007E1611" w:rsidP="005262FC">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$10.</w:t>
            </w:r>
            <w:r w:rsidR="00F6303F">
              <w:rPr>
                <w:rFonts w:ascii="Times New Roman" w:hAnsi="Times New Roman" w:cs="Times New Roman"/>
                <w:b/>
                <w:sz w:val="20"/>
                <w:szCs w:val="20"/>
              </w:rPr>
              <w:t>3</w:t>
            </w:r>
          </w:p>
        </w:tc>
        <w:tc>
          <w:tcPr>
            <w:tcW w:w="1080" w:type="dxa"/>
            <w:vAlign w:val="center"/>
          </w:tcPr>
          <w:p w14:paraId="6B895624" w14:textId="053A7E55" w:rsidR="00414E79" w:rsidRPr="0059070A" w:rsidRDefault="007E1611" w:rsidP="005262FC">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$4.9</w:t>
            </w:r>
          </w:p>
        </w:tc>
        <w:tc>
          <w:tcPr>
            <w:tcW w:w="1080" w:type="dxa"/>
            <w:vAlign w:val="center"/>
          </w:tcPr>
          <w:p w14:paraId="0EBA9F9D" w14:textId="7FAEE3AA" w:rsidR="00414E79" w:rsidRPr="0059070A" w:rsidRDefault="007E1611" w:rsidP="005262FC">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($7.5)</w:t>
            </w:r>
          </w:p>
        </w:tc>
        <w:tc>
          <w:tcPr>
            <w:tcW w:w="990" w:type="dxa"/>
            <w:vAlign w:val="center"/>
          </w:tcPr>
          <w:p w14:paraId="2889F951" w14:textId="2E16F7AE" w:rsidR="00414E79" w:rsidRPr="0059070A" w:rsidRDefault="007E1611" w:rsidP="005262FC">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$34.</w:t>
            </w:r>
            <w:r w:rsidR="000E2692">
              <w:rPr>
                <w:rFonts w:ascii="Times New Roman" w:hAnsi="Times New Roman" w:cs="Times New Roman"/>
                <w:b/>
                <w:sz w:val="20"/>
                <w:szCs w:val="20"/>
              </w:rPr>
              <w:t>3</w:t>
            </w:r>
          </w:p>
        </w:tc>
        <w:tc>
          <w:tcPr>
            <w:tcW w:w="990" w:type="dxa"/>
            <w:vAlign w:val="center"/>
          </w:tcPr>
          <w:p w14:paraId="502E6381" w14:textId="165FC408" w:rsidR="00414E79" w:rsidRPr="0059070A" w:rsidRDefault="007E1611" w:rsidP="005262FC">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$59.4</w:t>
            </w:r>
          </w:p>
        </w:tc>
        <w:tc>
          <w:tcPr>
            <w:tcW w:w="917" w:type="dxa"/>
            <w:vAlign w:val="center"/>
          </w:tcPr>
          <w:p w14:paraId="1EAC25DB" w14:textId="05108F3E" w:rsidR="00414E79" w:rsidRPr="0059070A" w:rsidRDefault="007E1611" w:rsidP="005262FC">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$27.9</w:t>
            </w:r>
          </w:p>
        </w:tc>
      </w:tr>
      <w:tr w:rsidR="00414E79" w:rsidRPr="000B4C94" w14:paraId="055669F5" w14:textId="77777777" w:rsidTr="005262FC">
        <w:trPr>
          <w:gridBefore w:val="1"/>
          <w:wBefore w:w="22" w:type="dxa"/>
          <w:trHeight w:hRule="exact" w:val="542"/>
          <w:jc w:val="center"/>
        </w:trPr>
        <w:tc>
          <w:tcPr>
            <w:cnfStyle w:val="001000000000" w:firstRow="0" w:lastRow="0" w:firstColumn="1" w:lastColumn="0" w:oddVBand="0" w:evenVBand="0" w:oddHBand="0" w:evenHBand="0" w:firstRowFirstColumn="0" w:firstRowLastColumn="0" w:lastRowFirstColumn="0" w:lastRowLastColumn="0"/>
            <w:tcW w:w="2038" w:type="dxa"/>
            <w:tcBorders>
              <w:bottom w:val="single" w:sz="8" w:space="0" w:color="FFFFFF" w:themeColor="background1"/>
            </w:tcBorders>
            <w:vAlign w:val="center"/>
          </w:tcPr>
          <w:p w14:paraId="04ACDEFD" w14:textId="77777777" w:rsidR="00414E79" w:rsidRPr="0059070A" w:rsidRDefault="00414E79" w:rsidP="005262FC">
            <w:pPr>
              <w:contextualSpacing/>
              <w:rPr>
                <w:rFonts w:ascii="Times New Roman" w:hAnsi="Times New Roman" w:cs="Times New Roman"/>
                <w:b w:val="0"/>
                <w:sz w:val="20"/>
                <w:szCs w:val="20"/>
              </w:rPr>
            </w:pPr>
            <w:r w:rsidRPr="0059070A">
              <w:rPr>
                <w:rFonts w:ascii="Times New Roman" w:hAnsi="Times New Roman" w:cs="Times New Roman"/>
                <w:sz w:val="20"/>
                <w:szCs w:val="20"/>
              </w:rPr>
              <w:t>Total Increase (Decrease)</w:t>
            </w:r>
          </w:p>
        </w:tc>
        <w:tc>
          <w:tcPr>
            <w:tcW w:w="1080" w:type="dxa"/>
            <w:vAlign w:val="center"/>
          </w:tcPr>
          <w:p w14:paraId="76F33885" w14:textId="2863B173" w:rsidR="00414E79" w:rsidRPr="0059070A" w:rsidRDefault="007E1611" w:rsidP="005262FC">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44.3</w:t>
            </w:r>
          </w:p>
        </w:tc>
        <w:tc>
          <w:tcPr>
            <w:tcW w:w="1080" w:type="dxa"/>
            <w:vAlign w:val="center"/>
          </w:tcPr>
          <w:p w14:paraId="6BCC3163" w14:textId="3B1D5FF3" w:rsidR="00414E79" w:rsidRPr="0059070A" w:rsidRDefault="007E1611" w:rsidP="005262FC">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15.7</w:t>
            </w:r>
          </w:p>
        </w:tc>
        <w:tc>
          <w:tcPr>
            <w:tcW w:w="1080" w:type="dxa"/>
            <w:vAlign w:val="center"/>
          </w:tcPr>
          <w:p w14:paraId="138F9289" w14:textId="525276D5" w:rsidR="00414E79" w:rsidRPr="0059070A" w:rsidRDefault="007E1611" w:rsidP="005262FC">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7.1</w:t>
            </w:r>
          </w:p>
        </w:tc>
        <w:tc>
          <w:tcPr>
            <w:tcW w:w="1080" w:type="dxa"/>
            <w:vAlign w:val="center"/>
          </w:tcPr>
          <w:p w14:paraId="05F55715" w14:textId="6B5CAD7A" w:rsidR="00414E79" w:rsidRPr="0059070A" w:rsidRDefault="007E1611" w:rsidP="005262FC">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(0.4)</w:t>
            </w:r>
          </w:p>
        </w:tc>
        <w:tc>
          <w:tcPr>
            <w:tcW w:w="990" w:type="dxa"/>
            <w:vAlign w:val="center"/>
          </w:tcPr>
          <w:p w14:paraId="301A74C8" w14:textId="2C6AB068" w:rsidR="00414E79" w:rsidRPr="0059070A" w:rsidRDefault="007E1611" w:rsidP="005262FC">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45.</w:t>
            </w:r>
            <w:r w:rsidR="000E2692">
              <w:rPr>
                <w:rFonts w:ascii="Times New Roman" w:hAnsi="Times New Roman" w:cs="Times New Roman"/>
                <w:sz w:val="20"/>
                <w:szCs w:val="20"/>
              </w:rPr>
              <w:t>4</w:t>
            </w:r>
          </w:p>
        </w:tc>
        <w:tc>
          <w:tcPr>
            <w:tcW w:w="990" w:type="dxa"/>
            <w:vAlign w:val="center"/>
          </w:tcPr>
          <w:p w14:paraId="01FEE052" w14:textId="04BB1ECE" w:rsidR="00414E79" w:rsidRPr="0059070A" w:rsidRDefault="007E1611" w:rsidP="005262FC">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71.3</w:t>
            </w:r>
          </w:p>
        </w:tc>
        <w:tc>
          <w:tcPr>
            <w:tcW w:w="917" w:type="dxa"/>
            <w:vAlign w:val="center"/>
          </w:tcPr>
          <w:p w14:paraId="29F05E17" w14:textId="54BC773F" w:rsidR="00414E79" w:rsidRPr="0059070A" w:rsidRDefault="007E1611" w:rsidP="005262FC">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40.0</w:t>
            </w:r>
          </w:p>
        </w:tc>
      </w:tr>
      <w:tr w:rsidR="00414E79" w:rsidRPr="000B4C94" w14:paraId="0D5038FA" w14:textId="77777777" w:rsidTr="005262FC">
        <w:trPr>
          <w:gridBefore w:val="1"/>
          <w:cnfStyle w:val="000000100000" w:firstRow="0" w:lastRow="0" w:firstColumn="0" w:lastColumn="0" w:oddVBand="0" w:evenVBand="0" w:oddHBand="1" w:evenHBand="0" w:firstRowFirstColumn="0" w:firstRowLastColumn="0" w:lastRowFirstColumn="0" w:lastRowLastColumn="0"/>
          <w:wBefore w:w="22" w:type="dxa"/>
          <w:trHeight w:hRule="exact" w:val="542"/>
          <w:jc w:val="center"/>
        </w:trPr>
        <w:tc>
          <w:tcPr>
            <w:cnfStyle w:val="001000000000" w:firstRow="0" w:lastRow="0" w:firstColumn="1" w:lastColumn="0" w:oddVBand="0" w:evenVBand="0" w:oddHBand="0" w:evenHBand="0" w:firstRowFirstColumn="0" w:firstRowLastColumn="0" w:lastRowFirstColumn="0" w:lastRowLastColumn="0"/>
            <w:tcW w:w="2038" w:type="dxa"/>
            <w:tcBorders>
              <w:bottom w:val="single" w:sz="8" w:space="0" w:color="FFFFFF" w:themeColor="background1"/>
            </w:tcBorders>
            <w:vAlign w:val="center"/>
          </w:tcPr>
          <w:p w14:paraId="5F2B9F10" w14:textId="77777777" w:rsidR="00414E79" w:rsidRPr="0059070A" w:rsidRDefault="00414E79" w:rsidP="005262FC">
            <w:pPr>
              <w:contextualSpacing/>
              <w:rPr>
                <w:rFonts w:ascii="Times New Roman" w:hAnsi="Times New Roman" w:cs="Times New Roman"/>
                <w:b w:val="0"/>
                <w:sz w:val="20"/>
                <w:szCs w:val="20"/>
              </w:rPr>
            </w:pPr>
            <w:r w:rsidRPr="0059070A">
              <w:rPr>
                <w:rFonts w:ascii="Times New Roman" w:hAnsi="Times New Roman" w:cs="Times New Roman"/>
                <w:sz w:val="20"/>
                <w:szCs w:val="20"/>
              </w:rPr>
              <w:t>Beginning Fund Balance</w:t>
            </w:r>
          </w:p>
        </w:tc>
        <w:tc>
          <w:tcPr>
            <w:tcW w:w="1080" w:type="dxa"/>
            <w:vAlign w:val="center"/>
          </w:tcPr>
          <w:p w14:paraId="27821875" w14:textId="66662012" w:rsidR="00414E79" w:rsidRPr="0059070A" w:rsidRDefault="007E1611" w:rsidP="005262FC">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$184.7</w:t>
            </w:r>
          </w:p>
        </w:tc>
        <w:tc>
          <w:tcPr>
            <w:tcW w:w="1080" w:type="dxa"/>
            <w:vAlign w:val="center"/>
          </w:tcPr>
          <w:p w14:paraId="44F10CB5" w14:textId="635D7BC8" w:rsidR="00414E79" w:rsidRPr="0059070A" w:rsidRDefault="007E1611" w:rsidP="005262FC">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$229.0</w:t>
            </w:r>
          </w:p>
        </w:tc>
        <w:tc>
          <w:tcPr>
            <w:tcW w:w="1080" w:type="dxa"/>
            <w:vAlign w:val="center"/>
          </w:tcPr>
          <w:p w14:paraId="6E814B2D" w14:textId="1222E138" w:rsidR="00414E79" w:rsidRPr="0059070A" w:rsidRDefault="007E1611" w:rsidP="005262FC">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$244.6</w:t>
            </w:r>
          </w:p>
        </w:tc>
        <w:tc>
          <w:tcPr>
            <w:tcW w:w="1080" w:type="dxa"/>
            <w:vAlign w:val="center"/>
          </w:tcPr>
          <w:p w14:paraId="712DEBDD" w14:textId="7CBC7019" w:rsidR="00414E79" w:rsidRPr="0059070A" w:rsidRDefault="007E1611" w:rsidP="005262FC">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$251.7</w:t>
            </w:r>
          </w:p>
        </w:tc>
        <w:tc>
          <w:tcPr>
            <w:tcW w:w="990" w:type="dxa"/>
            <w:vAlign w:val="center"/>
          </w:tcPr>
          <w:p w14:paraId="09BE7A7E" w14:textId="51FC435B" w:rsidR="00414E79" w:rsidRPr="0059070A" w:rsidRDefault="007E1611" w:rsidP="005262FC">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$251.3</w:t>
            </w:r>
          </w:p>
        </w:tc>
        <w:tc>
          <w:tcPr>
            <w:tcW w:w="990" w:type="dxa"/>
            <w:vAlign w:val="center"/>
          </w:tcPr>
          <w:p w14:paraId="6B6DFB54" w14:textId="39DCFAF1" w:rsidR="00414E79" w:rsidRPr="0059070A" w:rsidRDefault="007E1611" w:rsidP="005262FC">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$296.</w:t>
            </w:r>
            <w:r w:rsidR="000E2692">
              <w:rPr>
                <w:rFonts w:ascii="Times New Roman" w:hAnsi="Times New Roman" w:cs="Times New Roman"/>
                <w:sz w:val="20"/>
                <w:szCs w:val="20"/>
              </w:rPr>
              <w:t>7</w:t>
            </w:r>
          </w:p>
        </w:tc>
        <w:tc>
          <w:tcPr>
            <w:tcW w:w="917" w:type="dxa"/>
            <w:vAlign w:val="center"/>
          </w:tcPr>
          <w:p w14:paraId="754FB142" w14:textId="4220169C" w:rsidR="00414E79" w:rsidRPr="0059070A" w:rsidRDefault="007E1611" w:rsidP="005262FC">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w:t>
            </w:r>
            <w:r w:rsidR="000E2692">
              <w:rPr>
                <w:rFonts w:ascii="Times New Roman" w:hAnsi="Times New Roman" w:cs="Times New Roman"/>
                <w:sz w:val="20"/>
                <w:szCs w:val="20"/>
              </w:rPr>
              <w:t>368.0</w:t>
            </w:r>
          </w:p>
        </w:tc>
      </w:tr>
      <w:tr w:rsidR="00414E79" w:rsidRPr="000B4C94" w14:paraId="329B9F61" w14:textId="77777777" w:rsidTr="005262FC">
        <w:trPr>
          <w:gridBefore w:val="1"/>
          <w:wBefore w:w="22" w:type="dxa"/>
          <w:trHeight w:hRule="exact" w:val="533"/>
          <w:jc w:val="center"/>
        </w:trPr>
        <w:tc>
          <w:tcPr>
            <w:cnfStyle w:val="001000000000" w:firstRow="0" w:lastRow="0" w:firstColumn="1" w:lastColumn="0" w:oddVBand="0" w:evenVBand="0" w:oddHBand="0" w:evenHBand="0" w:firstRowFirstColumn="0" w:firstRowLastColumn="0" w:lastRowFirstColumn="0" w:lastRowLastColumn="0"/>
            <w:tcW w:w="2038" w:type="dxa"/>
            <w:vAlign w:val="center"/>
          </w:tcPr>
          <w:p w14:paraId="59A67602" w14:textId="77777777" w:rsidR="00414E79" w:rsidRPr="0059070A" w:rsidRDefault="00414E79" w:rsidP="005262FC">
            <w:pPr>
              <w:contextualSpacing/>
              <w:rPr>
                <w:rFonts w:ascii="Times New Roman" w:hAnsi="Times New Roman" w:cs="Times New Roman"/>
                <w:b w:val="0"/>
                <w:color w:val="auto"/>
                <w:sz w:val="20"/>
                <w:szCs w:val="20"/>
              </w:rPr>
            </w:pPr>
            <w:r w:rsidRPr="0059070A">
              <w:rPr>
                <w:rFonts w:ascii="Times New Roman" w:hAnsi="Times New Roman" w:cs="Times New Roman"/>
                <w:sz w:val="20"/>
                <w:szCs w:val="20"/>
              </w:rPr>
              <w:t>Ending Fund Balance</w:t>
            </w:r>
          </w:p>
        </w:tc>
        <w:tc>
          <w:tcPr>
            <w:tcW w:w="1080" w:type="dxa"/>
            <w:vAlign w:val="center"/>
          </w:tcPr>
          <w:p w14:paraId="620A047D" w14:textId="69428EAB" w:rsidR="00414E79" w:rsidRPr="0059070A" w:rsidRDefault="007E1611" w:rsidP="005262FC">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$229.0</w:t>
            </w:r>
          </w:p>
        </w:tc>
        <w:tc>
          <w:tcPr>
            <w:tcW w:w="1080" w:type="dxa"/>
            <w:vAlign w:val="center"/>
          </w:tcPr>
          <w:p w14:paraId="355B207A" w14:textId="27E6749B" w:rsidR="00414E79" w:rsidRPr="0059070A" w:rsidRDefault="007E1611" w:rsidP="005262FC">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$244.6</w:t>
            </w:r>
          </w:p>
        </w:tc>
        <w:tc>
          <w:tcPr>
            <w:tcW w:w="1080" w:type="dxa"/>
            <w:vAlign w:val="center"/>
          </w:tcPr>
          <w:p w14:paraId="03F9C5D6" w14:textId="1C5B4D9C" w:rsidR="00414E79" w:rsidRPr="0059070A" w:rsidRDefault="007E1611" w:rsidP="005262FC">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$251.7</w:t>
            </w:r>
          </w:p>
        </w:tc>
        <w:tc>
          <w:tcPr>
            <w:tcW w:w="1080" w:type="dxa"/>
            <w:vAlign w:val="center"/>
          </w:tcPr>
          <w:p w14:paraId="20274A3B" w14:textId="2C8EBDD4" w:rsidR="00414E79" w:rsidRPr="0059070A" w:rsidRDefault="007E1611" w:rsidP="005262FC">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$251.3</w:t>
            </w:r>
          </w:p>
        </w:tc>
        <w:tc>
          <w:tcPr>
            <w:tcW w:w="990" w:type="dxa"/>
            <w:vAlign w:val="center"/>
          </w:tcPr>
          <w:p w14:paraId="1E5788B6" w14:textId="1CBBF592" w:rsidR="00414E79" w:rsidRPr="0059070A" w:rsidRDefault="007E1611" w:rsidP="005262FC">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$296.</w:t>
            </w:r>
            <w:r w:rsidR="000E2692">
              <w:rPr>
                <w:rFonts w:ascii="Times New Roman" w:hAnsi="Times New Roman" w:cs="Times New Roman"/>
                <w:b/>
                <w:sz w:val="20"/>
                <w:szCs w:val="20"/>
              </w:rPr>
              <w:t>7</w:t>
            </w:r>
          </w:p>
        </w:tc>
        <w:tc>
          <w:tcPr>
            <w:tcW w:w="990" w:type="dxa"/>
            <w:vAlign w:val="center"/>
          </w:tcPr>
          <w:p w14:paraId="1F246857" w14:textId="20878EC9" w:rsidR="00414E79" w:rsidRPr="0059070A" w:rsidRDefault="007E1611" w:rsidP="005262FC">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$36</w:t>
            </w:r>
            <w:r w:rsidR="000E2692">
              <w:rPr>
                <w:rFonts w:ascii="Times New Roman" w:hAnsi="Times New Roman" w:cs="Times New Roman"/>
                <w:b/>
                <w:sz w:val="20"/>
                <w:szCs w:val="20"/>
              </w:rPr>
              <w:t>8.0</w:t>
            </w:r>
          </w:p>
        </w:tc>
        <w:tc>
          <w:tcPr>
            <w:tcW w:w="917" w:type="dxa"/>
            <w:vAlign w:val="center"/>
          </w:tcPr>
          <w:p w14:paraId="52C38A40" w14:textId="210BC505" w:rsidR="00414E79" w:rsidRPr="0059070A" w:rsidRDefault="007E1611" w:rsidP="005262FC">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$40</w:t>
            </w:r>
            <w:r w:rsidR="000E2692">
              <w:rPr>
                <w:rFonts w:ascii="Times New Roman" w:hAnsi="Times New Roman" w:cs="Times New Roman"/>
                <w:b/>
                <w:sz w:val="20"/>
                <w:szCs w:val="20"/>
              </w:rPr>
              <w:t>8.0</w:t>
            </w:r>
          </w:p>
        </w:tc>
      </w:tr>
    </w:tbl>
    <w:p w14:paraId="173E15D2" w14:textId="77777777" w:rsidR="00414E79" w:rsidRPr="00F6303F" w:rsidRDefault="00414E79" w:rsidP="00414E79">
      <w:pPr>
        <w:rPr>
          <w:i/>
          <w:sz w:val="18"/>
          <w:szCs w:val="18"/>
        </w:rPr>
      </w:pPr>
      <w:r w:rsidRPr="00F6303F">
        <w:rPr>
          <w:i/>
          <w:sz w:val="18"/>
          <w:szCs w:val="18"/>
        </w:rPr>
        <w:t xml:space="preserve"> Totals may not tie due to rounding</w:t>
      </w:r>
    </w:p>
    <w:p w14:paraId="0540898C" w14:textId="77777777" w:rsidR="00ED41D4" w:rsidRDefault="00ED41D4">
      <w:pPr>
        <w:rPr>
          <w:b/>
          <w:szCs w:val="24"/>
        </w:rPr>
      </w:pPr>
      <w:r>
        <w:rPr>
          <w:b/>
          <w:szCs w:val="24"/>
        </w:rPr>
        <w:br w:type="page"/>
      </w:r>
    </w:p>
    <w:p w14:paraId="17E97596" w14:textId="59399EDD" w:rsidR="00ED41D4" w:rsidRDefault="00ED41D4" w:rsidP="00ED41D4">
      <w:pPr>
        <w:jc w:val="center"/>
        <w:rPr>
          <w:b/>
        </w:rPr>
      </w:pPr>
      <w:r w:rsidRPr="00A24752">
        <w:rPr>
          <w:b/>
        </w:rPr>
        <w:t>Appendix C-2</w:t>
      </w:r>
      <w:r>
        <w:rPr>
          <w:b/>
        </w:rPr>
        <w:t>:  Consolidated Fund Budget FYs 2016/17 to FY 2023/24</w:t>
      </w:r>
    </w:p>
    <w:p w14:paraId="12905DE7" w14:textId="77777777" w:rsidR="00ED41D4" w:rsidRPr="00A24752" w:rsidRDefault="00ED41D4" w:rsidP="00ED41D4">
      <w:pPr>
        <w:jc w:val="center"/>
        <w:rPr>
          <w:b/>
        </w:rPr>
      </w:pPr>
    </w:p>
    <w:p w14:paraId="31359D90" w14:textId="77777777" w:rsidR="00ED41D4" w:rsidRDefault="00ED41D4" w:rsidP="00414E79">
      <w:pPr>
        <w:jc w:val="center"/>
        <w:rPr>
          <w:b/>
          <w:szCs w:val="24"/>
        </w:rPr>
      </w:pPr>
      <w:r w:rsidRPr="00ED41D4">
        <w:rPr>
          <w:noProof/>
        </w:rPr>
        <w:drawing>
          <wp:inline distT="0" distB="0" distL="0" distR="0" wp14:anchorId="69EC0B8C" wp14:editId="2352B8E3">
            <wp:extent cx="5842000" cy="78740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49954" cy="7884721"/>
                    </a:xfrm>
                    <a:prstGeom prst="rect">
                      <a:avLst/>
                    </a:prstGeom>
                    <a:noFill/>
                    <a:ln>
                      <a:noFill/>
                    </a:ln>
                  </pic:spPr>
                </pic:pic>
              </a:graphicData>
            </a:graphic>
          </wp:inline>
        </w:drawing>
      </w:r>
    </w:p>
    <w:p w14:paraId="6C90F45B" w14:textId="77777777" w:rsidR="00ED41D4" w:rsidRDefault="00ED41D4">
      <w:pPr>
        <w:rPr>
          <w:b/>
          <w:szCs w:val="24"/>
        </w:rPr>
      </w:pPr>
      <w:r>
        <w:rPr>
          <w:b/>
          <w:szCs w:val="24"/>
        </w:rPr>
        <w:br w:type="page"/>
      </w:r>
    </w:p>
    <w:p w14:paraId="65952706" w14:textId="454D863D" w:rsidR="00ED41D4" w:rsidRDefault="00ED41D4" w:rsidP="00414E79">
      <w:pPr>
        <w:jc w:val="center"/>
        <w:rPr>
          <w:b/>
        </w:rPr>
      </w:pPr>
      <w:r w:rsidRPr="00A24752">
        <w:rPr>
          <w:b/>
        </w:rPr>
        <w:t>Appendix C-</w:t>
      </w:r>
      <w:r>
        <w:rPr>
          <w:b/>
        </w:rPr>
        <w:t xml:space="preserve">3:  Consolidated Fund Budget by Fund </w:t>
      </w:r>
    </w:p>
    <w:p w14:paraId="4A23BD02" w14:textId="77777777" w:rsidR="00ED41D4" w:rsidRDefault="00ED41D4" w:rsidP="00414E79">
      <w:pPr>
        <w:jc w:val="center"/>
        <w:rPr>
          <w:b/>
        </w:rPr>
      </w:pPr>
    </w:p>
    <w:p w14:paraId="4C5B9A76" w14:textId="7D6B430C" w:rsidR="00A6453A" w:rsidRDefault="00ED41D4" w:rsidP="00414E79">
      <w:pPr>
        <w:jc w:val="center"/>
        <w:rPr>
          <w:b/>
          <w:szCs w:val="24"/>
        </w:rPr>
      </w:pPr>
      <w:r w:rsidRPr="00ED41D4">
        <w:rPr>
          <w:noProof/>
        </w:rPr>
        <w:drawing>
          <wp:inline distT="0" distB="0" distL="0" distR="0" wp14:anchorId="6F5F09BA" wp14:editId="474BAADE">
            <wp:extent cx="5943600" cy="76835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7683500"/>
                    </a:xfrm>
                    <a:prstGeom prst="rect">
                      <a:avLst/>
                    </a:prstGeom>
                    <a:noFill/>
                    <a:ln>
                      <a:noFill/>
                    </a:ln>
                  </pic:spPr>
                </pic:pic>
              </a:graphicData>
            </a:graphic>
          </wp:inline>
        </w:drawing>
      </w:r>
      <w:r w:rsidR="00414E79">
        <w:rPr>
          <w:b/>
          <w:szCs w:val="24"/>
        </w:rPr>
        <w:br w:type="page"/>
      </w:r>
    </w:p>
    <w:p w14:paraId="13C9F79B" w14:textId="6784D785" w:rsidR="005262FC" w:rsidRDefault="005262FC" w:rsidP="005262FC">
      <w:pPr>
        <w:jc w:val="center"/>
        <w:rPr>
          <w:noProof/>
        </w:rPr>
      </w:pPr>
      <w:r w:rsidRPr="00A24752">
        <w:rPr>
          <w:b/>
        </w:rPr>
        <w:t xml:space="preserve">Appendix </w:t>
      </w:r>
      <w:r>
        <w:rPr>
          <w:b/>
        </w:rPr>
        <w:t>D</w:t>
      </w:r>
      <w:r w:rsidRPr="00A24752">
        <w:rPr>
          <w:b/>
        </w:rPr>
        <w:t>-</w:t>
      </w:r>
      <w:r>
        <w:rPr>
          <w:b/>
        </w:rPr>
        <w:t>1:  Regional Wastewater Capital Improvement Fund Budget</w:t>
      </w:r>
    </w:p>
    <w:p w14:paraId="539CFEC4" w14:textId="48E678E6" w:rsidR="005262FC" w:rsidRDefault="005262FC" w:rsidP="00C253B8">
      <w:pPr>
        <w:jc w:val="center"/>
        <w:rPr>
          <w:noProof/>
        </w:rPr>
      </w:pPr>
    </w:p>
    <w:p w14:paraId="72216295" w14:textId="4CEB29C6" w:rsidR="00F93209" w:rsidRDefault="00371468" w:rsidP="00C253B8">
      <w:pPr>
        <w:jc w:val="center"/>
        <w:rPr>
          <w:b/>
        </w:rPr>
      </w:pPr>
      <w:r w:rsidRPr="00371468">
        <w:rPr>
          <w:noProof/>
        </w:rPr>
        <w:drawing>
          <wp:inline distT="0" distB="0" distL="0" distR="0" wp14:anchorId="7C38DB42" wp14:editId="72C40509">
            <wp:extent cx="5943600" cy="741680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7416800"/>
                    </a:xfrm>
                    <a:prstGeom prst="rect">
                      <a:avLst/>
                    </a:prstGeom>
                    <a:noFill/>
                    <a:ln>
                      <a:noFill/>
                    </a:ln>
                  </pic:spPr>
                </pic:pic>
              </a:graphicData>
            </a:graphic>
          </wp:inline>
        </w:drawing>
      </w:r>
    </w:p>
    <w:p w14:paraId="74AE61B3" w14:textId="0F0F5AC6" w:rsidR="007D231F" w:rsidRDefault="007D231F" w:rsidP="00C253B8">
      <w:pPr>
        <w:jc w:val="center"/>
        <w:rPr>
          <w:b/>
        </w:rPr>
      </w:pPr>
    </w:p>
    <w:p w14:paraId="5B1A29E8" w14:textId="77777777" w:rsidR="007D231F" w:rsidRDefault="007D231F" w:rsidP="00C253B8">
      <w:pPr>
        <w:jc w:val="center"/>
        <w:rPr>
          <w:b/>
        </w:rPr>
      </w:pPr>
    </w:p>
    <w:p w14:paraId="630B8E64" w14:textId="77777777" w:rsidR="0081568E" w:rsidRDefault="0081568E" w:rsidP="00C253B8">
      <w:pPr>
        <w:jc w:val="center"/>
        <w:rPr>
          <w:b/>
        </w:rPr>
      </w:pPr>
    </w:p>
    <w:p w14:paraId="7433A396" w14:textId="4E4909D8" w:rsidR="00184916" w:rsidRDefault="007D231F" w:rsidP="00C253B8">
      <w:pPr>
        <w:jc w:val="center"/>
        <w:rPr>
          <w:b/>
        </w:rPr>
      </w:pPr>
      <w:r>
        <w:rPr>
          <w:b/>
        </w:rPr>
        <w:t xml:space="preserve">Regional Wastewater Capital Improvement Fund </w:t>
      </w:r>
    </w:p>
    <w:p w14:paraId="1A4CC5DB" w14:textId="24D8B199" w:rsidR="007D231F" w:rsidRDefault="00184916" w:rsidP="00C253B8">
      <w:pPr>
        <w:jc w:val="center"/>
        <w:rPr>
          <w:b/>
        </w:rPr>
      </w:pPr>
      <w:r>
        <w:rPr>
          <w:b/>
        </w:rPr>
        <w:t xml:space="preserve">Proposed </w:t>
      </w:r>
      <w:r w:rsidR="007D231F">
        <w:rPr>
          <w:b/>
        </w:rPr>
        <w:t>Capital Project List</w:t>
      </w:r>
    </w:p>
    <w:p w14:paraId="6766BFB0" w14:textId="77777777" w:rsidR="007D231F" w:rsidRDefault="007D231F" w:rsidP="00C253B8">
      <w:pPr>
        <w:jc w:val="center"/>
        <w:rPr>
          <w:b/>
        </w:rPr>
      </w:pPr>
    </w:p>
    <w:tbl>
      <w:tblPr>
        <w:tblStyle w:val="GridTable4-Accent1"/>
        <w:tblW w:w="9372" w:type="dxa"/>
        <w:tblLook w:val="04A0" w:firstRow="1" w:lastRow="0" w:firstColumn="1" w:lastColumn="0" w:noHBand="0" w:noVBand="1"/>
      </w:tblPr>
      <w:tblGrid>
        <w:gridCol w:w="4787"/>
        <w:gridCol w:w="1057"/>
        <w:gridCol w:w="1057"/>
        <w:gridCol w:w="1454"/>
        <w:gridCol w:w="1017"/>
      </w:tblGrid>
      <w:tr w:rsidR="00520B76" w:rsidRPr="00520B76" w14:paraId="1797BA7F" w14:textId="77777777" w:rsidTr="00520B76">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4787" w:type="dxa"/>
            <w:vAlign w:val="center"/>
            <w:hideMark/>
          </w:tcPr>
          <w:p w14:paraId="400FC583" w14:textId="77777777" w:rsidR="007D231F" w:rsidRPr="00520B76" w:rsidRDefault="007D231F" w:rsidP="00520B76">
            <w:pPr>
              <w:jc w:val="center"/>
              <w:rPr>
                <w:b w:val="0"/>
                <w:bCs w:val="0"/>
                <w:color w:val="auto"/>
                <w:sz w:val="22"/>
              </w:rPr>
            </w:pPr>
            <w:r w:rsidRPr="00520B76">
              <w:rPr>
                <w:color w:val="auto"/>
                <w:sz w:val="22"/>
              </w:rPr>
              <w:t>Major Projects ($Millions)</w:t>
            </w:r>
          </w:p>
        </w:tc>
        <w:tc>
          <w:tcPr>
            <w:tcW w:w="1057" w:type="dxa"/>
            <w:vAlign w:val="center"/>
            <w:hideMark/>
          </w:tcPr>
          <w:p w14:paraId="38190B02" w14:textId="77777777" w:rsidR="007D231F" w:rsidRPr="00520B76" w:rsidRDefault="007D231F" w:rsidP="00520B76">
            <w:pPr>
              <w:jc w:val="center"/>
              <w:cnfStyle w:val="100000000000" w:firstRow="1" w:lastRow="0" w:firstColumn="0" w:lastColumn="0" w:oddVBand="0" w:evenVBand="0" w:oddHBand="0" w:evenHBand="0" w:firstRowFirstColumn="0" w:firstRowLastColumn="0" w:lastRowFirstColumn="0" w:lastRowLastColumn="0"/>
              <w:rPr>
                <w:b w:val="0"/>
                <w:bCs w:val="0"/>
                <w:color w:val="auto"/>
                <w:sz w:val="22"/>
              </w:rPr>
            </w:pPr>
            <w:r w:rsidRPr="00520B76">
              <w:rPr>
                <w:color w:val="auto"/>
                <w:sz w:val="22"/>
              </w:rPr>
              <w:t>FY 2019/20</w:t>
            </w:r>
          </w:p>
        </w:tc>
        <w:tc>
          <w:tcPr>
            <w:tcW w:w="1057" w:type="dxa"/>
            <w:vAlign w:val="center"/>
            <w:hideMark/>
          </w:tcPr>
          <w:p w14:paraId="33C80C17" w14:textId="77777777" w:rsidR="007D231F" w:rsidRPr="00520B76" w:rsidRDefault="007D231F" w:rsidP="00520B76">
            <w:pPr>
              <w:jc w:val="center"/>
              <w:cnfStyle w:val="100000000000" w:firstRow="1" w:lastRow="0" w:firstColumn="0" w:lastColumn="0" w:oddVBand="0" w:evenVBand="0" w:oddHBand="0" w:evenHBand="0" w:firstRowFirstColumn="0" w:firstRowLastColumn="0" w:lastRowFirstColumn="0" w:lastRowLastColumn="0"/>
              <w:rPr>
                <w:b w:val="0"/>
                <w:bCs w:val="0"/>
                <w:color w:val="auto"/>
                <w:sz w:val="22"/>
              </w:rPr>
            </w:pPr>
            <w:r w:rsidRPr="00520B76">
              <w:rPr>
                <w:color w:val="auto"/>
                <w:sz w:val="22"/>
              </w:rPr>
              <w:t>FY 2020/21</w:t>
            </w:r>
          </w:p>
        </w:tc>
        <w:tc>
          <w:tcPr>
            <w:tcW w:w="1454" w:type="dxa"/>
            <w:vAlign w:val="center"/>
            <w:hideMark/>
          </w:tcPr>
          <w:p w14:paraId="39174426" w14:textId="736AD81B" w:rsidR="007D231F" w:rsidRDefault="007D231F" w:rsidP="00520B76">
            <w:pPr>
              <w:jc w:val="center"/>
              <w:cnfStyle w:val="100000000000" w:firstRow="1" w:lastRow="0" w:firstColumn="0" w:lastColumn="0" w:oddVBand="0" w:evenVBand="0" w:oddHBand="0" w:evenHBand="0" w:firstRowFirstColumn="0" w:firstRowLastColumn="0" w:lastRowFirstColumn="0" w:lastRowLastColumn="0"/>
              <w:rPr>
                <w:b w:val="0"/>
                <w:bCs w:val="0"/>
                <w:sz w:val="22"/>
              </w:rPr>
            </w:pPr>
            <w:r w:rsidRPr="00520B76">
              <w:rPr>
                <w:color w:val="auto"/>
                <w:sz w:val="22"/>
              </w:rPr>
              <w:t>FY 2021/22 to</w:t>
            </w:r>
          </w:p>
          <w:p w14:paraId="1C84A952" w14:textId="447D5CB8" w:rsidR="00520B76" w:rsidRPr="00520B76" w:rsidRDefault="00520B76" w:rsidP="00520B76">
            <w:pPr>
              <w:jc w:val="center"/>
              <w:cnfStyle w:val="100000000000" w:firstRow="1" w:lastRow="0" w:firstColumn="0" w:lastColumn="0" w:oddVBand="0" w:evenVBand="0" w:oddHBand="0" w:evenHBand="0" w:firstRowFirstColumn="0" w:firstRowLastColumn="0" w:lastRowFirstColumn="0" w:lastRowLastColumn="0"/>
              <w:rPr>
                <w:b w:val="0"/>
                <w:bCs w:val="0"/>
                <w:color w:val="auto"/>
                <w:sz w:val="22"/>
              </w:rPr>
            </w:pPr>
            <w:r>
              <w:rPr>
                <w:color w:val="auto"/>
                <w:sz w:val="22"/>
              </w:rPr>
              <w:t>FY 2023/24</w:t>
            </w:r>
          </w:p>
        </w:tc>
        <w:tc>
          <w:tcPr>
            <w:tcW w:w="1017" w:type="dxa"/>
            <w:vAlign w:val="center"/>
            <w:hideMark/>
          </w:tcPr>
          <w:p w14:paraId="34B3D6C7" w14:textId="77777777" w:rsidR="007D231F" w:rsidRDefault="007D231F" w:rsidP="00520B76">
            <w:pPr>
              <w:jc w:val="center"/>
              <w:cnfStyle w:val="100000000000" w:firstRow="1" w:lastRow="0" w:firstColumn="0" w:lastColumn="0" w:oddVBand="0" w:evenVBand="0" w:oddHBand="0" w:evenHBand="0" w:firstRowFirstColumn="0" w:firstRowLastColumn="0" w:lastRowFirstColumn="0" w:lastRowLastColumn="0"/>
              <w:rPr>
                <w:b w:val="0"/>
                <w:bCs w:val="0"/>
                <w:sz w:val="22"/>
              </w:rPr>
            </w:pPr>
            <w:r w:rsidRPr="00520B76">
              <w:rPr>
                <w:color w:val="auto"/>
                <w:sz w:val="22"/>
              </w:rPr>
              <w:t>TYCIP</w:t>
            </w:r>
          </w:p>
          <w:p w14:paraId="286075E6" w14:textId="62DD59D0" w:rsidR="00520B76" w:rsidRPr="00520B76" w:rsidRDefault="00520B76" w:rsidP="00520B76">
            <w:pPr>
              <w:jc w:val="center"/>
              <w:cnfStyle w:val="100000000000" w:firstRow="1" w:lastRow="0" w:firstColumn="0" w:lastColumn="0" w:oddVBand="0" w:evenVBand="0" w:oddHBand="0" w:evenHBand="0" w:firstRowFirstColumn="0" w:firstRowLastColumn="0" w:lastRowFirstColumn="0" w:lastRowLastColumn="0"/>
              <w:rPr>
                <w:b w:val="0"/>
                <w:bCs w:val="0"/>
                <w:color w:val="auto"/>
                <w:sz w:val="22"/>
              </w:rPr>
            </w:pPr>
            <w:r>
              <w:rPr>
                <w:color w:val="auto"/>
                <w:sz w:val="22"/>
              </w:rPr>
              <w:t>Total</w:t>
            </w:r>
          </w:p>
        </w:tc>
      </w:tr>
      <w:tr w:rsidR="00520B76" w:rsidRPr="00520B76" w14:paraId="402915AE" w14:textId="77777777" w:rsidTr="00520B76">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4787" w:type="dxa"/>
            <w:hideMark/>
          </w:tcPr>
          <w:p w14:paraId="6BDBDA50" w14:textId="77777777" w:rsidR="007D231F" w:rsidRPr="00520B76" w:rsidRDefault="007D231F" w:rsidP="007D231F">
            <w:pPr>
              <w:rPr>
                <w:b w:val="0"/>
                <w:bCs w:val="0"/>
                <w:sz w:val="20"/>
                <w:szCs w:val="20"/>
              </w:rPr>
            </w:pPr>
            <w:r w:rsidRPr="00520B76">
              <w:rPr>
                <w:b w:val="0"/>
                <w:sz w:val="20"/>
                <w:szCs w:val="20"/>
              </w:rPr>
              <w:t xml:space="preserve">RP-5 Expansion </w:t>
            </w:r>
          </w:p>
        </w:tc>
        <w:tc>
          <w:tcPr>
            <w:tcW w:w="1057" w:type="dxa"/>
            <w:hideMark/>
          </w:tcPr>
          <w:p w14:paraId="6C531C02" w14:textId="77777777" w:rsidR="007D231F" w:rsidRPr="00520B76" w:rsidRDefault="007D231F" w:rsidP="007D231F">
            <w:pPr>
              <w:jc w:val="center"/>
              <w:cnfStyle w:val="000000100000" w:firstRow="0" w:lastRow="0" w:firstColumn="0" w:lastColumn="0" w:oddVBand="0" w:evenVBand="0" w:oddHBand="1" w:evenHBand="0" w:firstRowFirstColumn="0" w:firstRowLastColumn="0" w:lastRowFirstColumn="0" w:lastRowLastColumn="0"/>
              <w:rPr>
                <w:sz w:val="20"/>
                <w:szCs w:val="20"/>
              </w:rPr>
            </w:pPr>
            <w:r w:rsidRPr="00520B76">
              <w:rPr>
                <w:sz w:val="20"/>
                <w:szCs w:val="20"/>
              </w:rPr>
              <w:t xml:space="preserve">$11.00 </w:t>
            </w:r>
          </w:p>
        </w:tc>
        <w:tc>
          <w:tcPr>
            <w:tcW w:w="1057" w:type="dxa"/>
            <w:hideMark/>
          </w:tcPr>
          <w:p w14:paraId="4B6656C3" w14:textId="77777777" w:rsidR="007D231F" w:rsidRPr="00520B76" w:rsidRDefault="007D231F" w:rsidP="007D231F">
            <w:pPr>
              <w:jc w:val="center"/>
              <w:cnfStyle w:val="000000100000" w:firstRow="0" w:lastRow="0" w:firstColumn="0" w:lastColumn="0" w:oddVBand="0" w:evenVBand="0" w:oddHBand="1" w:evenHBand="0" w:firstRowFirstColumn="0" w:firstRowLastColumn="0" w:lastRowFirstColumn="0" w:lastRowLastColumn="0"/>
              <w:rPr>
                <w:sz w:val="20"/>
                <w:szCs w:val="20"/>
              </w:rPr>
            </w:pPr>
            <w:r w:rsidRPr="00520B76">
              <w:rPr>
                <w:sz w:val="20"/>
                <w:szCs w:val="20"/>
              </w:rPr>
              <w:t xml:space="preserve">$90.00 </w:t>
            </w:r>
          </w:p>
        </w:tc>
        <w:tc>
          <w:tcPr>
            <w:tcW w:w="1454" w:type="dxa"/>
            <w:hideMark/>
          </w:tcPr>
          <w:p w14:paraId="301B4F2E" w14:textId="77777777" w:rsidR="007D231F" w:rsidRPr="00520B76" w:rsidRDefault="007D231F" w:rsidP="007D231F">
            <w:pPr>
              <w:jc w:val="center"/>
              <w:cnfStyle w:val="000000100000" w:firstRow="0" w:lastRow="0" w:firstColumn="0" w:lastColumn="0" w:oddVBand="0" w:evenVBand="0" w:oddHBand="1" w:evenHBand="0" w:firstRowFirstColumn="0" w:firstRowLastColumn="0" w:lastRowFirstColumn="0" w:lastRowLastColumn="0"/>
              <w:rPr>
                <w:sz w:val="20"/>
                <w:szCs w:val="20"/>
              </w:rPr>
            </w:pPr>
            <w:r w:rsidRPr="00520B76">
              <w:rPr>
                <w:sz w:val="20"/>
                <w:szCs w:val="20"/>
              </w:rPr>
              <w:t xml:space="preserve">$119.00 </w:t>
            </w:r>
          </w:p>
        </w:tc>
        <w:tc>
          <w:tcPr>
            <w:tcW w:w="1017" w:type="dxa"/>
            <w:hideMark/>
          </w:tcPr>
          <w:p w14:paraId="22B97779" w14:textId="77777777" w:rsidR="007D231F" w:rsidRPr="00520B76" w:rsidRDefault="007D231F" w:rsidP="007D231F">
            <w:pPr>
              <w:jc w:val="center"/>
              <w:cnfStyle w:val="000000100000" w:firstRow="0" w:lastRow="0" w:firstColumn="0" w:lastColumn="0" w:oddVBand="0" w:evenVBand="0" w:oddHBand="1" w:evenHBand="0" w:firstRowFirstColumn="0" w:firstRowLastColumn="0" w:lastRowFirstColumn="0" w:lastRowLastColumn="0"/>
              <w:rPr>
                <w:sz w:val="20"/>
                <w:szCs w:val="20"/>
              </w:rPr>
            </w:pPr>
            <w:r w:rsidRPr="00520B76">
              <w:rPr>
                <w:sz w:val="20"/>
                <w:szCs w:val="20"/>
              </w:rPr>
              <w:t xml:space="preserve">$304.90 </w:t>
            </w:r>
          </w:p>
        </w:tc>
      </w:tr>
      <w:tr w:rsidR="00520B76" w:rsidRPr="00520B76" w14:paraId="30F85A55" w14:textId="77777777" w:rsidTr="00520B76">
        <w:trPr>
          <w:trHeight w:val="294"/>
        </w:trPr>
        <w:tc>
          <w:tcPr>
            <w:cnfStyle w:val="001000000000" w:firstRow="0" w:lastRow="0" w:firstColumn="1" w:lastColumn="0" w:oddVBand="0" w:evenVBand="0" w:oddHBand="0" w:evenHBand="0" w:firstRowFirstColumn="0" w:firstRowLastColumn="0" w:lastRowFirstColumn="0" w:lastRowLastColumn="0"/>
            <w:tcW w:w="4787" w:type="dxa"/>
            <w:hideMark/>
          </w:tcPr>
          <w:p w14:paraId="03317AF3" w14:textId="77777777" w:rsidR="007D231F" w:rsidRPr="00520B76" w:rsidRDefault="007D231F" w:rsidP="007D231F">
            <w:pPr>
              <w:rPr>
                <w:b w:val="0"/>
                <w:bCs w:val="0"/>
                <w:sz w:val="20"/>
                <w:szCs w:val="20"/>
              </w:rPr>
            </w:pPr>
            <w:r w:rsidRPr="00520B76">
              <w:rPr>
                <w:b w:val="0"/>
                <w:sz w:val="20"/>
                <w:szCs w:val="20"/>
              </w:rPr>
              <w:t xml:space="preserve">CCWRF Asset Management Improvements </w:t>
            </w:r>
          </w:p>
        </w:tc>
        <w:tc>
          <w:tcPr>
            <w:tcW w:w="1057" w:type="dxa"/>
            <w:hideMark/>
          </w:tcPr>
          <w:p w14:paraId="1C465B60" w14:textId="77777777" w:rsidR="007D231F" w:rsidRPr="00520B76" w:rsidRDefault="007D231F" w:rsidP="007D231F">
            <w:pPr>
              <w:jc w:val="center"/>
              <w:cnfStyle w:val="000000000000" w:firstRow="0" w:lastRow="0" w:firstColumn="0" w:lastColumn="0" w:oddVBand="0" w:evenVBand="0" w:oddHBand="0" w:evenHBand="0" w:firstRowFirstColumn="0" w:firstRowLastColumn="0" w:lastRowFirstColumn="0" w:lastRowLastColumn="0"/>
              <w:rPr>
                <w:sz w:val="20"/>
                <w:szCs w:val="20"/>
              </w:rPr>
            </w:pPr>
            <w:r w:rsidRPr="00520B76">
              <w:rPr>
                <w:sz w:val="20"/>
                <w:szCs w:val="20"/>
              </w:rPr>
              <w:t>6.8</w:t>
            </w:r>
          </w:p>
        </w:tc>
        <w:tc>
          <w:tcPr>
            <w:tcW w:w="1057" w:type="dxa"/>
            <w:hideMark/>
          </w:tcPr>
          <w:p w14:paraId="522C33F7" w14:textId="77777777" w:rsidR="007D231F" w:rsidRPr="00520B76" w:rsidRDefault="007D231F" w:rsidP="007D231F">
            <w:pPr>
              <w:jc w:val="center"/>
              <w:cnfStyle w:val="000000000000" w:firstRow="0" w:lastRow="0" w:firstColumn="0" w:lastColumn="0" w:oddVBand="0" w:evenVBand="0" w:oddHBand="0" w:evenHBand="0" w:firstRowFirstColumn="0" w:firstRowLastColumn="0" w:lastRowFirstColumn="0" w:lastRowLastColumn="0"/>
              <w:rPr>
                <w:sz w:val="20"/>
                <w:szCs w:val="20"/>
              </w:rPr>
            </w:pPr>
            <w:r w:rsidRPr="00520B76">
              <w:rPr>
                <w:sz w:val="20"/>
                <w:szCs w:val="20"/>
              </w:rPr>
              <w:t>7.5</w:t>
            </w:r>
          </w:p>
        </w:tc>
        <w:tc>
          <w:tcPr>
            <w:tcW w:w="1454" w:type="dxa"/>
            <w:hideMark/>
          </w:tcPr>
          <w:p w14:paraId="04D25D28" w14:textId="77777777" w:rsidR="007D231F" w:rsidRPr="00520B76" w:rsidRDefault="007D231F" w:rsidP="007D231F">
            <w:pPr>
              <w:jc w:val="center"/>
              <w:cnfStyle w:val="000000000000" w:firstRow="0" w:lastRow="0" w:firstColumn="0" w:lastColumn="0" w:oddVBand="0" w:evenVBand="0" w:oddHBand="0" w:evenHBand="0" w:firstRowFirstColumn="0" w:firstRowLastColumn="0" w:lastRowFirstColumn="0" w:lastRowLastColumn="0"/>
              <w:rPr>
                <w:sz w:val="20"/>
                <w:szCs w:val="20"/>
              </w:rPr>
            </w:pPr>
            <w:r w:rsidRPr="00520B76">
              <w:rPr>
                <w:sz w:val="20"/>
                <w:szCs w:val="20"/>
              </w:rPr>
              <w:t>6</w:t>
            </w:r>
          </w:p>
        </w:tc>
        <w:tc>
          <w:tcPr>
            <w:tcW w:w="1017" w:type="dxa"/>
            <w:hideMark/>
          </w:tcPr>
          <w:p w14:paraId="154C7384" w14:textId="77777777" w:rsidR="007D231F" w:rsidRPr="00520B76" w:rsidRDefault="007D231F" w:rsidP="007D231F">
            <w:pPr>
              <w:jc w:val="center"/>
              <w:cnfStyle w:val="000000000000" w:firstRow="0" w:lastRow="0" w:firstColumn="0" w:lastColumn="0" w:oddVBand="0" w:evenVBand="0" w:oddHBand="0" w:evenHBand="0" w:firstRowFirstColumn="0" w:firstRowLastColumn="0" w:lastRowFirstColumn="0" w:lastRowLastColumn="0"/>
              <w:rPr>
                <w:sz w:val="20"/>
                <w:szCs w:val="20"/>
              </w:rPr>
            </w:pPr>
            <w:r w:rsidRPr="00520B76">
              <w:rPr>
                <w:sz w:val="20"/>
                <w:szCs w:val="20"/>
              </w:rPr>
              <w:t>26.9</w:t>
            </w:r>
          </w:p>
        </w:tc>
      </w:tr>
      <w:tr w:rsidR="00520B76" w:rsidRPr="00520B76" w14:paraId="340C5643" w14:textId="77777777" w:rsidTr="00520B76">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4787" w:type="dxa"/>
            <w:hideMark/>
          </w:tcPr>
          <w:p w14:paraId="42AE3E61" w14:textId="77777777" w:rsidR="007D231F" w:rsidRPr="00520B76" w:rsidRDefault="007D231F" w:rsidP="007D231F">
            <w:pPr>
              <w:rPr>
                <w:b w:val="0"/>
                <w:bCs w:val="0"/>
                <w:sz w:val="20"/>
                <w:szCs w:val="20"/>
              </w:rPr>
            </w:pPr>
            <w:r w:rsidRPr="00520B76">
              <w:rPr>
                <w:b w:val="0"/>
                <w:sz w:val="20"/>
                <w:szCs w:val="20"/>
              </w:rPr>
              <w:t>RP-1 Flare Improvements</w:t>
            </w:r>
          </w:p>
        </w:tc>
        <w:tc>
          <w:tcPr>
            <w:tcW w:w="1057" w:type="dxa"/>
            <w:hideMark/>
          </w:tcPr>
          <w:p w14:paraId="319BDE5D" w14:textId="77777777" w:rsidR="007D231F" w:rsidRPr="00520B76" w:rsidRDefault="007D231F" w:rsidP="007D231F">
            <w:pPr>
              <w:jc w:val="center"/>
              <w:cnfStyle w:val="000000100000" w:firstRow="0" w:lastRow="0" w:firstColumn="0" w:lastColumn="0" w:oddVBand="0" w:evenVBand="0" w:oddHBand="1" w:evenHBand="0" w:firstRowFirstColumn="0" w:firstRowLastColumn="0" w:lastRowFirstColumn="0" w:lastRowLastColumn="0"/>
              <w:rPr>
                <w:sz w:val="20"/>
                <w:szCs w:val="20"/>
              </w:rPr>
            </w:pPr>
            <w:r w:rsidRPr="00520B76">
              <w:rPr>
                <w:sz w:val="20"/>
                <w:szCs w:val="20"/>
              </w:rPr>
              <w:t>5</w:t>
            </w:r>
          </w:p>
        </w:tc>
        <w:tc>
          <w:tcPr>
            <w:tcW w:w="1057" w:type="dxa"/>
            <w:hideMark/>
          </w:tcPr>
          <w:p w14:paraId="43AE686E" w14:textId="77777777" w:rsidR="007D231F" w:rsidRPr="00520B76" w:rsidRDefault="007D231F" w:rsidP="007D231F">
            <w:pPr>
              <w:jc w:val="center"/>
              <w:cnfStyle w:val="000000100000" w:firstRow="0" w:lastRow="0" w:firstColumn="0" w:lastColumn="0" w:oddVBand="0" w:evenVBand="0" w:oddHBand="1" w:evenHBand="0" w:firstRowFirstColumn="0" w:firstRowLastColumn="0" w:lastRowFirstColumn="0" w:lastRowLastColumn="0"/>
              <w:rPr>
                <w:sz w:val="20"/>
                <w:szCs w:val="20"/>
              </w:rPr>
            </w:pPr>
            <w:r w:rsidRPr="00520B76">
              <w:rPr>
                <w:sz w:val="20"/>
                <w:szCs w:val="20"/>
              </w:rPr>
              <w:t>-</w:t>
            </w:r>
          </w:p>
        </w:tc>
        <w:tc>
          <w:tcPr>
            <w:tcW w:w="1454" w:type="dxa"/>
            <w:hideMark/>
          </w:tcPr>
          <w:p w14:paraId="14E92B37" w14:textId="77777777" w:rsidR="007D231F" w:rsidRPr="00520B76" w:rsidRDefault="007D231F" w:rsidP="007D231F">
            <w:pPr>
              <w:jc w:val="center"/>
              <w:cnfStyle w:val="000000100000" w:firstRow="0" w:lastRow="0" w:firstColumn="0" w:lastColumn="0" w:oddVBand="0" w:evenVBand="0" w:oddHBand="1" w:evenHBand="0" w:firstRowFirstColumn="0" w:firstRowLastColumn="0" w:lastRowFirstColumn="0" w:lastRowLastColumn="0"/>
              <w:rPr>
                <w:sz w:val="20"/>
                <w:szCs w:val="20"/>
              </w:rPr>
            </w:pPr>
            <w:r w:rsidRPr="00520B76">
              <w:rPr>
                <w:sz w:val="20"/>
                <w:szCs w:val="20"/>
              </w:rPr>
              <w:t>-</w:t>
            </w:r>
          </w:p>
        </w:tc>
        <w:tc>
          <w:tcPr>
            <w:tcW w:w="1017" w:type="dxa"/>
            <w:hideMark/>
          </w:tcPr>
          <w:p w14:paraId="502B9BFF" w14:textId="77777777" w:rsidR="007D231F" w:rsidRPr="00520B76" w:rsidRDefault="007D231F" w:rsidP="007D231F">
            <w:pPr>
              <w:jc w:val="center"/>
              <w:cnfStyle w:val="000000100000" w:firstRow="0" w:lastRow="0" w:firstColumn="0" w:lastColumn="0" w:oddVBand="0" w:evenVBand="0" w:oddHBand="1" w:evenHBand="0" w:firstRowFirstColumn="0" w:firstRowLastColumn="0" w:lastRowFirstColumn="0" w:lastRowLastColumn="0"/>
              <w:rPr>
                <w:sz w:val="20"/>
                <w:szCs w:val="20"/>
              </w:rPr>
            </w:pPr>
            <w:r w:rsidRPr="00520B76">
              <w:rPr>
                <w:sz w:val="20"/>
                <w:szCs w:val="20"/>
              </w:rPr>
              <w:t>5</w:t>
            </w:r>
          </w:p>
        </w:tc>
      </w:tr>
      <w:tr w:rsidR="00520B76" w:rsidRPr="00520B76" w14:paraId="6C4B920D" w14:textId="77777777" w:rsidTr="00520B76">
        <w:trPr>
          <w:trHeight w:val="294"/>
        </w:trPr>
        <w:tc>
          <w:tcPr>
            <w:cnfStyle w:val="001000000000" w:firstRow="0" w:lastRow="0" w:firstColumn="1" w:lastColumn="0" w:oddVBand="0" w:evenVBand="0" w:oddHBand="0" w:evenHBand="0" w:firstRowFirstColumn="0" w:firstRowLastColumn="0" w:lastRowFirstColumn="0" w:lastRowLastColumn="0"/>
            <w:tcW w:w="4787" w:type="dxa"/>
            <w:hideMark/>
          </w:tcPr>
          <w:p w14:paraId="58560CE6" w14:textId="77777777" w:rsidR="007D231F" w:rsidRPr="00520B76" w:rsidRDefault="007D231F" w:rsidP="007D231F">
            <w:pPr>
              <w:rPr>
                <w:b w:val="0"/>
                <w:bCs w:val="0"/>
                <w:sz w:val="20"/>
                <w:szCs w:val="20"/>
              </w:rPr>
            </w:pPr>
            <w:r w:rsidRPr="00520B76">
              <w:rPr>
                <w:b w:val="0"/>
                <w:sz w:val="20"/>
                <w:szCs w:val="20"/>
              </w:rPr>
              <w:t>Collection System Upgrades</w:t>
            </w:r>
          </w:p>
        </w:tc>
        <w:tc>
          <w:tcPr>
            <w:tcW w:w="1057" w:type="dxa"/>
            <w:hideMark/>
          </w:tcPr>
          <w:p w14:paraId="7839B51C" w14:textId="77777777" w:rsidR="007D231F" w:rsidRPr="00520B76" w:rsidRDefault="007D231F" w:rsidP="007D231F">
            <w:pPr>
              <w:jc w:val="center"/>
              <w:cnfStyle w:val="000000000000" w:firstRow="0" w:lastRow="0" w:firstColumn="0" w:lastColumn="0" w:oddVBand="0" w:evenVBand="0" w:oddHBand="0" w:evenHBand="0" w:firstRowFirstColumn="0" w:firstRowLastColumn="0" w:lastRowFirstColumn="0" w:lastRowLastColumn="0"/>
              <w:rPr>
                <w:sz w:val="20"/>
                <w:szCs w:val="20"/>
              </w:rPr>
            </w:pPr>
            <w:r w:rsidRPr="00520B76">
              <w:rPr>
                <w:sz w:val="20"/>
                <w:szCs w:val="20"/>
              </w:rPr>
              <w:t>0.5</w:t>
            </w:r>
          </w:p>
        </w:tc>
        <w:tc>
          <w:tcPr>
            <w:tcW w:w="1057" w:type="dxa"/>
            <w:hideMark/>
          </w:tcPr>
          <w:p w14:paraId="58E5E00B" w14:textId="77777777" w:rsidR="007D231F" w:rsidRPr="00520B76" w:rsidRDefault="007D231F" w:rsidP="007D231F">
            <w:pPr>
              <w:jc w:val="center"/>
              <w:cnfStyle w:val="000000000000" w:firstRow="0" w:lastRow="0" w:firstColumn="0" w:lastColumn="0" w:oddVBand="0" w:evenVBand="0" w:oddHBand="0" w:evenHBand="0" w:firstRowFirstColumn="0" w:firstRowLastColumn="0" w:lastRowFirstColumn="0" w:lastRowLastColumn="0"/>
              <w:rPr>
                <w:sz w:val="20"/>
                <w:szCs w:val="20"/>
              </w:rPr>
            </w:pPr>
            <w:r w:rsidRPr="00520B76">
              <w:rPr>
                <w:sz w:val="20"/>
                <w:szCs w:val="20"/>
              </w:rPr>
              <w:t>0.5</w:t>
            </w:r>
          </w:p>
        </w:tc>
        <w:tc>
          <w:tcPr>
            <w:tcW w:w="1454" w:type="dxa"/>
            <w:hideMark/>
          </w:tcPr>
          <w:p w14:paraId="05D0DCFE" w14:textId="77777777" w:rsidR="007D231F" w:rsidRPr="00520B76" w:rsidRDefault="007D231F" w:rsidP="007D231F">
            <w:pPr>
              <w:jc w:val="center"/>
              <w:cnfStyle w:val="000000000000" w:firstRow="0" w:lastRow="0" w:firstColumn="0" w:lastColumn="0" w:oddVBand="0" w:evenVBand="0" w:oddHBand="0" w:evenHBand="0" w:firstRowFirstColumn="0" w:firstRowLastColumn="0" w:lastRowFirstColumn="0" w:lastRowLastColumn="0"/>
              <w:rPr>
                <w:sz w:val="20"/>
                <w:szCs w:val="20"/>
              </w:rPr>
            </w:pPr>
            <w:r w:rsidRPr="00520B76">
              <w:rPr>
                <w:sz w:val="20"/>
                <w:szCs w:val="20"/>
              </w:rPr>
              <w:t>1.5</w:t>
            </w:r>
          </w:p>
        </w:tc>
        <w:tc>
          <w:tcPr>
            <w:tcW w:w="1017" w:type="dxa"/>
            <w:hideMark/>
          </w:tcPr>
          <w:p w14:paraId="38BAAB54" w14:textId="77777777" w:rsidR="007D231F" w:rsidRPr="00520B76" w:rsidRDefault="007D231F" w:rsidP="007D231F">
            <w:pPr>
              <w:jc w:val="center"/>
              <w:cnfStyle w:val="000000000000" w:firstRow="0" w:lastRow="0" w:firstColumn="0" w:lastColumn="0" w:oddVBand="0" w:evenVBand="0" w:oddHBand="0" w:evenHBand="0" w:firstRowFirstColumn="0" w:firstRowLastColumn="0" w:lastRowFirstColumn="0" w:lastRowLastColumn="0"/>
              <w:rPr>
                <w:sz w:val="20"/>
                <w:szCs w:val="20"/>
              </w:rPr>
            </w:pPr>
            <w:r w:rsidRPr="00520B76">
              <w:rPr>
                <w:sz w:val="20"/>
                <w:szCs w:val="20"/>
              </w:rPr>
              <w:t>5</w:t>
            </w:r>
          </w:p>
        </w:tc>
      </w:tr>
      <w:tr w:rsidR="00520B76" w:rsidRPr="00520B76" w14:paraId="7E21AC6D" w14:textId="77777777" w:rsidTr="00520B76">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4787" w:type="dxa"/>
            <w:hideMark/>
          </w:tcPr>
          <w:p w14:paraId="2A2EE314" w14:textId="77777777" w:rsidR="007D231F" w:rsidRPr="00520B76" w:rsidRDefault="007D231F" w:rsidP="007D231F">
            <w:pPr>
              <w:rPr>
                <w:b w:val="0"/>
                <w:bCs w:val="0"/>
                <w:sz w:val="20"/>
                <w:szCs w:val="20"/>
              </w:rPr>
            </w:pPr>
            <w:r w:rsidRPr="00520B76">
              <w:rPr>
                <w:b w:val="0"/>
                <w:sz w:val="20"/>
                <w:szCs w:val="20"/>
              </w:rPr>
              <w:t>RP-1 Solids &amp; Liquid Treatment Expansion</w:t>
            </w:r>
          </w:p>
        </w:tc>
        <w:tc>
          <w:tcPr>
            <w:tcW w:w="1057" w:type="dxa"/>
            <w:hideMark/>
          </w:tcPr>
          <w:p w14:paraId="63CA2E89" w14:textId="77777777" w:rsidR="007D231F" w:rsidRPr="00520B76" w:rsidRDefault="007D231F" w:rsidP="007D231F">
            <w:pPr>
              <w:jc w:val="center"/>
              <w:cnfStyle w:val="000000100000" w:firstRow="0" w:lastRow="0" w:firstColumn="0" w:lastColumn="0" w:oddVBand="0" w:evenVBand="0" w:oddHBand="1" w:evenHBand="0" w:firstRowFirstColumn="0" w:firstRowLastColumn="0" w:lastRowFirstColumn="0" w:lastRowLastColumn="0"/>
              <w:rPr>
                <w:sz w:val="20"/>
                <w:szCs w:val="20"/>
              </w:rPr>
            </w:pPr>
            <w:r w:rsidRPr="00520B76">
              <w:rPr>
                <w:sz w:val="20"/>
                <w:szCs w:val="20"/>
              </w:rPr>
              <w:t>0.2</w:t>
            </w:r>
          </w:p>
        </w:tc>
        <w:tc>
          <w:tcPr>
            <w:tcW w:w="1057" w:type="dxa"/>
            <w:hideMark/>
          </w:tcPr>
          <w:p w14:paraId="5E68276B" w14:textId="77777777" w:rsidR="007D231F" w:rsidRPr="00520B76" w:rsidRDefault="007D231F" w:rsidP="007D231F">
            <w:pPr>
              <w:jc w:val="center"/>
              <w:cnfStyle w:val="000000100000" w:firstRow="0" w:lastRow="0" w:firstColumn="0" w:lastColumn="0" w:oddVBand="0" w:evenVBand="0" w:oddHBand="1" w:evenHBand="0" w:firstRowFirstColumn="0" w:firstRowLastColumn="0" w:lastRowFirstColumn="0" w:lastRowLastColumn="0"/>
              <w:rPr>
                <w:sz w:val="20"/>
                <w:szCs w:val="20"/>
              </w:rPr>
            </w:pPr>
            <w:r w:rsidRPr="00520B76">
              <w:rPr>
                <w:sz w:val="20"/>
                <w:szCs w:val="20"/>
              </w:rPr>
              <w:t>-</w:t>
            </w:r>
          </w:p>
        </w:tc>
        <w:tc>
          <w:tcPr>
            <w:tcW w:w="1454" w:type="dxa"/>
            <w:hideMark/>
          </w:tcPr>
          <w:p w14:paraId="5CBD120E" w14:textId="77777777" w:rsidR="007D231F" w:rsidRPr="00520B76" w:rsidRDefault="007D231F" w:rsidP="007D231F">
            <w:pPr>
              <w:jc w:val="center"/>
              <w:cnfStyle w:val="000000100000" w:firstRow="0" w:lastRow="0" w:firstColumn="0" w:lastColumn="0" w:oddVBand="0" w:evenVBand="0" w:oddHBand="1" w:evenHBand="0" w:firstRowFirstColumn="0" w:firstRowLastColumn="0" w:lastRowFirstColumn="0" w:lastRowLastColumn="0"/>
              <w:rPr>
                <w:sz w:val="20"/>
                <w:szCs w:val="20"/>
              </w:rPr>
            </w:pPr>
            <w:r w:rsidRPr="00520B76">
              <w:rPr>
                <w:sz w:val="20"/>
                <w:szCs w:val="20"/>
              </w:rPr>
              <w:t>-</w:t>
            </w:r>
          </w:p>
        </w:tc>
        <w:tc>
          <w:tcPr>
            <w:tcW w:w="1017" w:type="dxa"/>
            <w:hideMark/>
          </w:tcPr>
          <w:p w14:paraId="5C6A8949" w14:textId="77777777" w:rsidR="007D231F" w:rsidRPr="00520B76" w:rsidRDefault="007D231F" w:rsidP="007D231F">
            <w:pPr>
              <w:jc w:val="center"/>
              <w:cnfStyle w:val="000000100000" w:firstRow="0" w:lastRow="0" w:firstColumn="0" w:lastColumn="0" w:oddVBand="0" w:evenVBand="0" w:oddHBand="1" w:evenHBand="0" w:firstRowFirstColumn="0" w:firstRowLastColumn="0" w:lastRowFirstColumn="0" w:lastRowLastColumn="0"/>
              <w:rPr>
                <w:sz w:val="20"/>
                <w:szCs w:val="20"/>
              </w:rPr>
            </w:pPr>
            <w:r w:rsidRPr="00520B76">
              <w:rPr>
                <w:sz w:val="20"/>
                <w:szCs w:val="20"/>
              </w:rPr>
              <w:t>80.5</w:t>
            </w:r>
          </w:p>
        </w:tc>
      </w:tr>
      <w:tr w:rsidR="00520B76" w:rsidRPr="00520B76" w14:paraId="2867C2D8" w14:textId="77777777" w:rsidTr="00520B76">
        <w:trPr>
          <w:trHeight w:val="294"/>
        </w:trPr>
        <w:tc>
          <w:tcPr>
            <w:cnfStyle w:val="001000000000" w:firstRow="0" w:lastRow="0" w:firstColumn="1" w:lastColumn="0" w:oddVBand="0" w:evenVBand="0" w:oddHBand="0" w:evenHBand="0" w:firstRowFirstColumn="0" w:firstRowLastColumn="0" w:lastRowFirstColumn="0" w:lastRowLastColumn="0"/>
            <w:tcW w:w="4787" w:type="dxa"/>
            <w:hideMark/>
          </w:tcPr>
          <w:p w14:paraId="6CE0DBEA" w14:textId="77777777" w:rsidR="007D231F" w:rsidRPr="00520B76" w:rsidRDefault="007D231F" w:rsidP="007D231F">
            <w:pPr>
              <w:rPr>
                <w:b w:val="0"/>
                <w:bCs w:val="0"/>
                <w:sz w:val="20"/>
                <w:szCs w:val="20"/>
              </w:rPr>
            </w:pPr>
            <w:r w:rsidRPr="00520B76">
              <w:rPr>
                <w:b w:val="0"/>
                <w:sz w:val="20"/>
                <w:szCs w:val="20"/>
              </w:rPr>
              <w:t>All Other Capital Projects</w:t>
            </w:r>
          </w:p>
        </w:tc>
        <w:tc>
          <w:tcPr>
            <w:tcW w:w="1057" w:type="dxa"/>
            <w:hideMark/>
          </w:tcPr>
          <w:p w14:paraId="096185D7" w14:textId="77777777" w:rsidR="007D231F" w:rsidRPr="00520B76" w:rsidRDefault="007D231F" w:rsidP="007D231F">
            <w:pPr>
              <w:jc w:val="center"/>
              <w:cnfStyle w:val="000000000000" w:firstRow="0" w:lastRow="0" w:firstColumn="0" w:lastColumn="0" w:oddVBand="0" w:evenVBand="0" w:oddHBand="0" w:evenHBand="0" w:firstRowFirstColumn="0" w:firstRowLastColumn="0" w:lastRowFirstColumn="0" w:lastRowLastColumn="0"/>
              <w:rPr>
                <w:sz w:val="20"/>
                <w:szCs w:val="20"/>
              </w:rPr>
            </w:pPr>
            <w:r w:rsidRPr="00520B76">
              <w:rPr>
                <w:sz w:val="20"/>
                <w:szCs w:val="20"/>
              </w:rPr>
              <w:t>1.8</w:t>
            </w:r>
          </w:p>
        </w:tc>
        <w:tc>
          <w:tcPr>
            <w:tcW w:w="1057" w:type="dxa"/>
            <w:hideMark/>
          </w:tcPr>
          <w:p w14:paraId="7D5836E2" w14:textId="77777777" w:rsidR="007D231F" w:rsidRPr="00520B76" w:rsidRDefault="007D231F" w:rsidP="007D231F">
            <w:pPr>
              <w:jc w:val="center"/>
              <w:cnfStyle w:val="000000000000" w:firstRow="0" w:lastRow="0" w:firstColumn="0" w:lastColumn="0" w:oddVBand="0" w:evenVBand="0" w:oddHBand="0" w:evenHBand="0" w:firstRowFirstColumn="0" w:firstRowLastColumn="0" w:lastRowFirstColumn="0" w:lastRowLastColumn="0"/>
              <w:rPr>
                <w:sz w:val="20"/>
                <w:szCs w:val="20"/>
              </w:rPr>
            </w:pPr>
            <w:r w:rsidRPr="00520B76">
              <w:rPr>
                <w:sz w:val="20"/>
                <w:szCs w:val="20"/>
              </w:rPr>
              <w:t>4.7</w:t>
            </w:r>
          </w:p>
        </w:tc>
        <w:tc>
          <w:tcPr>
            <w:tcW w:w="1454" w:type="dxa"/>
            <w:hideMark/>
          </w:tcPr>
          <w:p w14:paraId="3C3E7BA1" w14:textId="77777777" w:rsidR="007D231F" w:rsidRPr="00520B76" w:rsidRDefault="007D231F" w:rsidP="007D231F">
            <w:pPr>
              <w:jc w:val="center"/>
              <w:cnfStyle w:val="000000000000" w:firstRow="0" w:lastRow="0" w:firstColumn="0" w:lastColumn="0" w:oddVBand="0" w:evenVBand="0" w:oddHBand="0" w:evenHBand="0" w:firstRowFirstColumn="0" w:firstRowLastColumn="0" w:lastRowFirstColumn="0" w:lastRowLastColumn="0"/>
              <w:rPr>
                <w:sz w:val="20"/>
                <w:szCs w:val="20"/>
              </w:rPr>
            </w:pPr>
            <w:r w:rsidRPr="00520B76">
              <w:rPr>
                <w:sz w:val="20"/>
                <w:szCs w:val="20"/>
              </w:rPr>
              <w:t>100.9</w:t>
            </w:r>
          </w:p>
        </w:tc>
        <w:tc>
          <w:tcPr>
            <w:tcW w:w="1017" w:type="dxa"/>
            <w:hideMark/>
          </w:tcPr>
          <w:p w14:paraId="4419AF52" w14:textId="77777777" w:rsidR="007D231F" w:rsidRPr="00520B76" w:rsidRDefault="007D231F" w:rsidP="007D231F">
            <w:pPr>
              <w:jc w:val="center"/>
              <w:cnfStyle w:val="000000000000" w:firstRow="0" w:lastRow="0" w:firstColumn="0" w:lastColumn="0" w:oddVBand="0" w:evenVBand="0" w:oddHBand="0" w:evenHBand="0" w:firstRowFirstColumn="0" w:firstRowLastColumn="0" w:lastRowFirstColumn="0" w:lastRowLastColumn="0"/>
              <w:rPr>
                <w:sz w:val="20"/>
                <w:szCs w:val="20"/>
              </w:rPr>
            </w:pPr>
            <w:r w:rsidRPr="00520B76">
              <w:rPr>
                <w:sz w:val="20"/>
                <w:szCs w:val="20"/>
              </w:rPr>
              <w:t>92.3</w:t>
            </w:r>
          </w:p>
        </w:tc>
      </w:tr>
      <w:tr w:rsidR="00520B76" w:rsidRPr="00520B76" w14:paraId="6E320724" w14:textId="77777777" w:rsidTr="00520B76">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4787" w:type="dxa"/>
            <w:hideMark/>
          </w:tcPr>
          <w:p w14:paraId="2FAA9B15" w14:textId="77777777" w:rsidR="007D231F" w:rsidRPr="00520B76" w:rsidRDefault="007D231F" w:rsidP="007D231F">
            <w:pPr>
              <w:rPr>
                <w:b w:val="0"/>
                <w:bCs w:val="0"/>
                <w:sz w:val="20"/>
                <w:szCs w:val="20"/>
              </w:rPr>
            </w:pPr>
            <w:r w:rsidRPr="00520B76">
              <w:rPr>
                <w:sz w:val="20"/>
                <w:szCs w:val="20"/>
              </w:rPr>
              <w:t>Total</w:t>
            </w:r>
          </w:p>
        </w:tc>
        <w:tc>
          <w:tcPr>
            <w:tcW w:w="1057" w:type="dxa"/>
            <w:hideMark/>
          </w:tcPr>
          <w:p w14:paraId="3F0C3A76" w14:textId="77777777" w:rsidR="007D231F" w:rsidRPr="00520B76" w:rsidRDefault="007D231F" w:rsidP="007D231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520B76">
              <w:rPr>
                <w:b/>
                <w:bCs/>
                <w:sz w:val="20"/>
                <w:szCs w:val="20"/>
              </w:rPr>
              <w:t xml:space="preserve">$25.30 </w:t>
            </w:r>
          </w:p>
        </w:tc>
        <w:tc>
          <w:tcPr>
            <w:tcW w:w="1057" w:type="dxa"/>
            <w:hideMark/>
          </w:tcPr>
          <w:p w14:paraId="532BA5CB" w14:textId="77777777" w:rsidR="007D231F" w:rsidRPr="00520B76" w:rsidRDefault="007D231F" w:rsidP="007D231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520B76">
              <w:rPr>
                <w:b/>
                <w:bCs/>
                <w:sz w:val="20"/>
                <w:szCs w:val="20"/>
              </w:rPr>
              <w:t xml:space="preserve">$102.70 </w:t>
            </w:r>
          </w:p>
        </w:tc>
        <w:tc>
          <w:tcPr>
            <w:tcW w:w="1454" w:type="dxa"/>
            <w:hideMark/>
          </w:tcPr>
          <w:p w14:paraId="4C845049" w14:textId="77777777" w:rsidR="007D231F" w:rsidRPr="00520B76" w:rsidRDefault="007D231F" w:rsidP="007D231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520B76">
              <w:rPr>
                <w:b/>
                <w:bCs/>
                <w:sz w:val="20"/>
                <w:szCs w:val="20"/>
              </w:rPr>
              <w:t xml:space="preserve">$227.40 </w:t>
            </w:r>
          </w:p>
        </w:tc>
        <w:tc>
          <w:tcPr>
            <w:tcW w:w="1017" w:type="dxa"/>
            <w:hideMark/>
          </w:tcPr>
          <w:p w14:paraId="0B08DDCF" w14:textId="77777777" w:rsidR="007D231F" w:rsidRPr="00520B76" w:rsidRDefault="007D231F" w:rsidP="007D231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520B76">
              <w:rPr>
                <w:b/>
                <w:bCs/>
                <w:sz w:val="20"/>
                <w:szCs w:val="20"/>
              </w:rPr>
              <w:t xml:space="preserve">$514.60 </w:t>
            </w:r>
          </w:p>
        </w:tc>
      </w:tr>
    </w:tbl>
    <w:p w14:paraId="7F91B33E" w14:textId="77777777" w:rsidR="005262FC" w:rsidRDefault="005262FC" w:rsidP="00C253B8">
      <w:pPr>
        <w:jc w:val="center"/>
        <w:rPr>
          <w:b/>
        </w:rPr>
      </w:pPr>
    </w:p>
    <w:p w14:paraId="09B2F3C5" w14:textId="77777777" w:rsidR="005262FC" w:rsidRDefault="005262FC" w:rsidP="00C253B8">
      <w:pPr>
        <w:jc w:val="center"/>
        <w:rPr>
          <w:b/>
        </w:rPr>
      </w:pPr>
    </w:p>
    <w:p w14:paraId="476984A8" w14:textId="6FBDBEDE" w:rsidR="005262FC" w:rsidRDefault="005262FC" w:rsidP="00C253B8">
      <w:pPr>
        <w:jc w:val="center"/>
        <w:rPr>
          <w:b/>
        </w:rPr>
      </w:pPr>
    </w:p>
    <w:p w14:paraId="5D503B57" w14:textId="6A0159A3" w:rsidR="007D231F" w:rsidRDefault="007D231F" w:rsidP="00C253B8">
      <w:pPr>
        <w:jc w:val="center"/>
        <w:rPr>
          <w:b/>
        </w:rPr>
      </w:pPr>
    </w:p>
    <w:p w14:paraId="50D8A4AB" w14:textId="223227E3" w:rsidR="007D231F" w:rsidRDefault="007D231F" w:rsidP="00C253B8">
      <w:pPr>
        <w:jc w:val="center"/>
        <w:rPr>
          <w:b/>
        </w:rPr>
      </w:pPr>
    </w:p>
    <w:p w14:paraId="7930FB4A" w14:textId="67253F31" w:rsidR="007D231F" w:rsidRDefault="007D231F" w:rsidP="00C253B8">
      <w:pPr>
        <w:jc w:val="center"/>
        <w:rPr>
          <w:b/>
        </w:rPr>
      </w:pPr>
    </w:p>
    <w:p w14:paraId="1AF617A4" w14:textId="6DF5A413" w:rsidR="007D231F" w:rsidRDefault="007D231F" w:rsidP="00C253B8">
      <w:pPr>
        <w:jc w:val="center"/>
        <w:rPr>
          <w:b/>
        </w:rPr>
      </w:pPr>
    </w:p>
    <w:p w14:paraId="03A46145" w14:textId="54344AFD" w:rsidR="007D231F" w:rsidRDefault="007D231F" w:rsidP="00C253B8">
      <w:pPr>
        <w:jc w:val="center"/>
        <w:rPr>
          <w:b/>
        </w:rPr>
      </w:pPr>
    </w:p>
    <w:p w14:paraId="752DAB37" w14:textId="740E5EFA" w:rsidR="007D231F" w:rsidRDefault="007D231F" w:rsidP="00C253B8">
      <w:pPr>
        <w:jc w:val="center"/>
        <w:rPr>
          <w:b/>
        </w:rPr>
      </w:pPr>
    </w:p>
    <w:p w14:paraId="665EA2B7" w14:textId="57953719" w:rsidR="007D231F" w:rsidRDefault="007D231F" w:rsidP="00C253B8">
      <w:pPr>
        <w:jc w:val="center"/>
        <w:rPr>
          <w:b/>
        </w:rPr>
      </w:pPr>
    </w:p>
    <w:p w14:paraId="126F9426" w14:textId="5D933604" w:rsidR="007D231F" w:rsidRDefault="007D231F" w:rsidP="00C253B8">
      <w:pPr>
        <w:jc w:val="center"/>
        <w:rPr>
          <w:b/>
        </w:rPr>
      </w:pPr>
    </w:p>
    <w:p w14:paraId="738C2AD7" w14:textId="63546FD1" w:rsidR="007D231F" w:rsidRDefault="007D231F" w:rsidP="00C253B8">
      <w:pPr>
        <w:jc w:val="center"/>
        <w:rPr>
          <w:b/>
        </w:rPr>
      </w:pPr>
    </w:p>
    <w:p w14:paraId="39528C8D" w14:textId="2EE6DF15" w:rsidR="007D231F" w:rsidRDefault="007D231F" w:rsidP="00C253B8">
      <w:pPr>
        <w:jc w:val="center"/>
        <w:rPr>
          <w:b/>
        </w:rPr>
      </w:pPr>
    </w:p>
    <w:p w14:paraId="6A08E4A5" w14:textId="72387ABC" w:rsidR="007D231F" w:rsidRDefault="007D231F" w:rsidP="00C253B8">
      <w:pPr>
        <w:jc w:val="center"/>
        <w:rPr>
          <w:b/>
        </w:rPr>
      </w:pPr>
    </w:p>
    <w:p w14:paraId="7BC9749B" w14:textId="7A8B5751" w:rsidR="007D231F" w:rsidRDefault="007D231F" w:rsidP="00C253B8">
      <w:pPr>
        <w:jc w:val="center"/>
        <w:rPr>
          <w:b/>
        </w:rPr>
      </w:pPr>
    </w:p>
    <w:p w14:paraId="4EA1A5C0" w14:textId="2A60A32C" w:rsidR="007D231F" w:rsidRDefault="007D231F" w:rsidP="00C253B8">
      <w:pPr>
        <w:jc w:val="center"/>
        <w:rPr>
          <w:b/>
        </w:rPr>
      </w:pPr>
    </w:p>
    <w:p w14:paraId="5860A274" w14:textId="0E452352" w:rsidR="007D231F" w:rsidRDefault="007D231F" w:rsidP="00C253B8">
      <w:pPr>
        <w:jc w:val="center"/>
        <w:rPr>
          <w:b/>
        </w:rPr>
      </w:pPr>
    </w:p>
    <w:p w14:paraId="0D68B8D7" w14:textId="0587BE7D" w:rsidR="007D231F" w:rsidRDefault="007D231F" w:rsidP="00C253B8">
      <w:pPr>
        <w:jc w:val="center"/>
        <w:rPr>
          <w:b/>
        </w:rPr>
      </w:pPr>
    </w:p>
    <w:p w14:paraId="43A38598" w14:textId="7348FD4B" w:rsidR="007D231F" w:rsidRDefault="007D231F" w:rsidP="00C253B8">
      <w:pPr>
        <w:jc w:val="center"/>
        <w:rPr>
          <w:b/>
        </w:rPr>
      </w:pPr>
    </w:p>
    <w:p w14:paraId="522A27B9" w14:textId="3642B940" w:rsidR="007D231F" w:rsidRDefault="007D231F" w:rsidP="00C253B8">
      <w:pPr>
        <w:jc w:val="center"/>
        <w:rPr>
          <w:b/>
        </w:rPr>
      </w:pPr>
    </w:p>
    <w:p w14:paraId="38C9AC4F" w14:textId="2BE4274B" w:rsidR="007D231F" w:rsidRDefault="007D231F" w:rsidP="00C253B8">
      <w:pPr>
        <w:jc w:val="center"/>
        <w:rPr>
          <w:b/>
        </w:rPr>
      </w:pPr>
    </w:p>
    <w:p w14:paraId="6AC444DB" w14:textId="069272E2" w:rsidR="007D231F" w:rsidRDefault="007D231F" w:rsidP="00C253B8">
      <w:pPr>
        <w:jc w:val="center"/>
        <w:rPr>
          <w:b/>
        </w:rPr>
      </w:pPr>
    </w:p>
    <w:p w14:paraId="3B4DFC2D" w14:textId="39D02D67" w:rsidR="007D231F" w:rsidRDefault="007D231F" w:rsidP="00C253B8">
      <w:pPr>
        <w:jc w:val="center"/>
        <w:rPr>
          <w:b/>
        </w:rPr>
      </w:pPr>
    </w:p>
    <w:p w14:paraId="026AA735" w14:textId="509D471D" w:rsidR="007D231F" w:rsidRDefault="007D231F" w:rsidP="00C253B8">
      <w:pPr>
        <w:jc w:val="center"/>
        <w:rPr>
          <w:b/>
        </w:rPr>
      </w:pPr>
    </w:p>
    <w:p w14:paraId="3CBDF97B" w14:textId="5F18BB46" w:rsidR="007D231F" w:rsidRDefault="007D231F" w:rsidP="00C253B8">
      <w:pPr>
        <w:jc w:val="center"/>
        <w:rPr>
          <w:b/>
        </w:rPr>
      </w:pPr>
    </w:p>
    <w:p w14:paraId="52D5533B" w14:textId="5CE6E05D" w:rsidR="007D231F" w:rsidRDefault="007D231F" w:rsidP="00C253B8">
      <w:pPr>
        <w:jc w:val="center"/>
        <w:rPr>
          <w:b/>
        </w:rPr>
      </w:pPr>
    </w:p>
    <w:p w14:paraId="203A3923" w14:textId="74AEB606" w:rsidR="007D231F" w:rsidRDefault="007D231F" w:rsidP="00C253B8">
      <w:pPr>
        <w:jc w:val="center"/>
        <w:rPr>
          <w:b/>
        </w:rPr>
      </w:pPr>
    </w:p>
    <w:p w14:paraId="6D89FADD" w14:textId="6169E5B2" w:rsidR="007D231F" w:rsidRDefault="007D231F" w:rsidP="00C253B8">
      <w:pPr>
        <w:jc w:val="center"/>
        <w:rPr>
          <w:b/>
        </w:rPr>
      </w:pPr>
    </w:p>
    <w:p w14:paraId="369DCFC8" w14:textId="5F38F7A2" w:rsidR="007D231F" w:rsidRDefault="007D231F" w:rsidP="00C253B8">
      <w:pPr>
        <w:jc w:val="center"/>
        <w:rPr>
          <w:b/>
        </w:rPr>
      </w:pPr>
    </w:p>
    <w:p w14:paraId="2780E2BC" w14:textId="16871AD2" w:rsidR="007D231F" w:rsidRDefault="007D231F" w:rsidP="00C253B8">
      <w:pPr>
        <w:jc w:val="center"/>
        <w:rPr>
          <w:b/>
        </w:rPr>
      </w:pPr>
    </w:p>
    <w:p w14:paraId="581C9991" w14:textId="5C3C411E" w:rsidR="007D231F" w:rsidRDefault="007D231F" w:rsidP="00C253B8">
      <w:pPr>
        <w:jc w:val="center"/>
        <w:rPr>
          <w:b/>
        </w:rPr>
      </w:pPr>
    </w:p>
    <w:p w14:paraId="0E9AF5E4" w14:textId="77777777" w:rsidR="007D231F" w:rsidRDefault="007D231F" w:rsidP="00C253B8">
      <w:pPr>
        <w:jc w:val="center"/>
        <w:rPr>
          <w:b/>
        </w:rPr>
      </w:pPr>
    </w:p>
    <w:p w14:paraId="125161A0" w14:textId="77777777" w:rsidR="005262FC" w:rsidRDefault="005262FC" w:rsidP="00C253B8">
      <w:pPr>
        <w:jc w:val="center"/>
        <w:rPr>
          <w:b/>
        </w:rPr>
      </w:pPr>
    </w:p>
    <w:p w14:paraId="3F72FE6F" w14:textId="77777777" w:rsidR="005262FC" w:rsidRDefault="005262FC" w:rsidP="00C253B8">
      <w:pPr>
        <w:jc w:val="center"/>
        <w:rPr>
          <w:b/>
        </w:rPr>
      </w:pPr>
    </w:p>
    <w:p w14:paraId="2B5731B3" w14:textId="4864551C" w:rsidR="005E7125" w:rsidRDefault="005E7125" w:rsidP="00C253B8">
      <w:pPr>
        <w:jc w:val="center"/>
        <w:rPr>
          <w:noProof/>
        </w:rPr>
      </w:pPr>
      <w:bookmarkStart w:id="2" w:name="_Hlk9331752"/>
      <w:r w:rsidRPr="00A24752">
        <w:rPr>
          <w:b/>
        </w:rPr>
        <w:t xml:space="preserve">Appendix </w:t>
      </w:r>
      <w:r>
        <w:rPr>
          <w:b/>
        </w:rPr>
        <w:t>D</w:t>
      </w:r>
      <w:r w:rsidRPr="00A24752">
        <w:rPr>
          <w:b/>
        </w:rPr>
        <w:t>-</w:t>
      </w:r>
      <w:r>
        <w:rPr>
          <w:b/>
        </w:rPr>
        <w:t>2</w:t>
      </w:r>
      <w:r w:rsidR="005262FC">
        <w:rPr>
          <w:b/>
        </w:rPr>
        <w:t>:  Regional Wastewater Operations &amp; Maintenance Fund Budget</w:t>
      </w:r>
    </w:p>
    <w:bookmarkEnd w:id="2"/>
    <w:p w14:paraId="4E7D90F4" w14:textId="77777777" w:rsidR="005E7125" w:rsidRDefault="005E7125" w:rsidP="00C253B8">
      <w:pPr>
        <w:jc w:val="center"/>
        <w:rPr>
          <w:noProof/>
        </w:rPr>
      </w:pPr>
    </w:p>
    <w:p w14:paraId="44B127A2" w14:textId="51DDEDBB" w:rsidR="00E0110F" w:rsidRDefault="0013535E" w:rsidP="00C253B8">
      <w:pPr>
        <w:jc w:val="center"/>
        <w:rPr>
          <w:rFonts w:ascii="Times" w:hAnsi="Times"/>
          <w:b/>
          <w:bCs/>
        </w:rPr>
      </w:pPr>
      <w:r w:rsidRPr="0013535E">
        <w:rPr>
          <w:noProof/>
        </w:rPr>
        <w:drawing>
          <wp:inline distT="0" distB="0" distL="0" distR="0" wp14:anchorId="15CC7101" wp14:editId="4BE6E89E">
            <wp:extent cx="5943600" cy="7520026"/>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5356" cy="7522248"/>
                    </a:xfrm>
                    <a:prstGeom prst="rect">
                      <a:avLst/>
                    </a:prstGeom>
                    <a:noFill/>
                    <a:ln>
                      <a:noFill/>
                    </a:ln>
                  </pic:spPr>
                </pic:pic>
              </a:graphicData>
            </a:graphic>
          </wp:inline>
        </w:drawing>
      </w:r>
    </w:p>
    <w:p w14:paraId="4AF09D5D" w14:textId="62E97E2D" w:rsidR="00E0110F" w:rsidRDefault="00E0110F" w:rsidP="00C253B8">
      <w:pPr>
        <w:jc w:val="center"/>
        <w:rPr>
          <w:rFonts w:ascii="Times" w:hAnsi="Times"/>
          <w:b/>
          <w:bCs/>
        </w:rPr>
      </w:pPr>
    </w:p>
    <w:p w14:paraId="329A7471" w14:textId="60CB73E0" w:rsidR="00A02530" w:rsidRDefault="00A02530" w:rsidP="00C253B8">
      <w:pPr>
        <w:jc w:val="center"/>
        <w:rPr>
          <w:rFonts w:ascii="Times" w:hAnsi="Times"/>
          <w:b/>
          <w:bCs/>
        </w:rPr>
      </w:pPr>
    </w:p>
    <w:p w14:paraId="7829471E" w14:textId="77777777" w:rsidR="00520B76" w:rsidRDefault="00520B76" w:rsidP="00C253B8">
      <w:pPr>
        <w:jc w:val="center"/>
        <w:rPr>
          <w:rFonts w:ascii="Times" w:hAnsi="Times"/>
          <w:b/>
          <w:bCs/>
        </w:rPr>
      </w:pPr>
    </w:p>
    <w:p w14:paraId="72482581" w14:textId="77777777" w:rsidR="00184916" w:rsidRDefault="007D231F" w:rsidP="00C253B8">
      <w:pPr>
        <w:jc w:val="center"/>
        <w:rPr>
          <w:b/>
        </w:rPr>
      </w:pPr>
      <w:r>
        <w:rPr>
          <w:b/>
        </w:rPr>
        <w:t xml:space="preserve">Regional Wastewater Operations &amp; Maintenance Fund </w:t>
      </w:r>
    </w:p>
    <w:p w14:paraId="54D3B581" w14:textId="77777777" w:rsidR="00184916" w:rsidRDefault="00184916" w:rsidP="00184916">
      <w:pPr>
        <w:jc w:val="center"/>
        <w:rPr>
          <w:b/>
        </w:rPr>
      </w:pPr>
      <w:r>
        <w:rPr>
          <w:b/>
        </w:rPr>
        <w:t>Proposed Capital Project List</w:t>
      </w:r>
    </w:p>
    <w:p w14:paraId="1AFEB4D1" w14:textId="386B837A" w:rsidR="007D231F" w:rsidRDefault="007D231F" w:rsidP="00C253B8">
      <w:pPr>
        <w:jc w:val="center"/>
        <w:rPr>
          <w:b/>
        </w:rPr>
      </w:pPr>
    </w:p>
    <w:tbl>
      <w:tblPr>
        <w:tblStyle w:val="GridTable4-Accent1"/>
        <w:tblW w:w="9257" w:type="dxa"/>
        <w:tblLook w:val="04A0" w:firstRow="1" w:lastRow="0" w:firstColumn="1" w:lastColumn="0" w:noHBand="0" w:noVBand="1"/>
      </w:tblPr>
      <w:tblGrid>
        <w:gridCol w:w="4703"/>
        <w:gridCol w:w="1057"/>
        <w:gridCol w:w="1057"/>
        <w:gridCol w:w="1423"/>
        <w:gridCol w:w="1017"/>
      </w:tblGrid>
      <w:tr w:rsidR="00520B76" w:rsidRPr="00520B76" w14:paraId="0E229F86" w14:textId="77777777" w:rsidTr="00520B76">
        <w:trPr>
          <w:cnfStyle w:val="100000000000" w:firstRow="1" w:lastRow="0" w:firstColumn="0" w:lastColumn="0" w:oddVBand="0" w:evenVBand="0" w:oddHBand="0"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4703" w:type="dxa"/>
            <w:vAlign w:val="center"/>
            <w:hideMark/>
          </w:tcPr>
          <w:p w14:paraId="49B15BA5" w14:textId="77777777" w:rsidR="007D231F" w:rsidRPr="00520B76" w:rsidRDefault="007D231F" w:rsidP="00520B76">
            <w:pPr>
              <w:jc w:val="center"/>
              <w:rPr>
                <w:b w:val="0"/>
                <w:bCs w:val="0"/>
                <w:color w:val="auto"/>
                <w:sz w:val="22"/>
              </w:rPr>
            </w:pPr>
            <w:r w:rsidRPr="00520B76">
              <w:rPr>
                <w:color w:val="auto"/>
                <w:sz w:val="22"/>
              </w:rPr>
              <w:t>Major Projects ($Millions)</w:t>
            </w:r>
          </w:p>
        </w:tc>
        <w:tc>
          <w:tcPr>
            <w:tcW w:w="1057" w:type="dxa"/>
            <w:vAlign w:val="center"/>
            <w:hideMark/>
          </w:tcPr>
          <w:p w14:paraId="34159D9D" w14:textId="77777777" w:rsidR="007D231F" w:rsidRPr="00520B76" w:rsidRDefault="007D231F" w:rsidP="00520B76">
            <w:pPr>
              <w:jc w:val="center"/>
              <w:cnfStyle w:val="100000000000" w:firstRow="1" w:lastRow="0" w:firstColumn="0" w:lastColumn="0" w:oddVBand="0" w:evenVBand="0" w:oddHBand="0" w:evenHBand="0" w:firstRowFirstColumn="0" w:firstRowLastColumn="0" w:lastRowFirstColumn="0" w:lastRowLastColumn="0"/>
              <w:rPr>
                <w:b w:val="0"/>
                <w:bCs w:val="0"/>
                <w:color w:val="auto"/>
                <w:sz w:val="22"/>
              </w:rPr>
            </w:pPr>
            <w:r w:rsidRPr="00520B76">
              <w:rPr>
                <w:color w:val="auto"/>
                <w:sz w:val="22"/>
              </w:rPr>
              <w:t>FY 2019/20</w:t>
            </w:r>
          </w:p>
        </w:tc>
        <w:tc>
          <w:tcPr>
            <w:tcW w:w="1057" w:type="dxa"/>
            <w:vAlign w:val="center"/>
            <w:hideMark/>
          </w:tcPr>
          <w:p w14:paraId="3C4C4D41" w14:textId="77777777" w:rsidR="007D231F" w:rsidRPr="00520B76" w:rsidRDefault="007D231F" w:rsidP="00520B76">
            <w:pPr>
              <w:jc w:val="center"/>
              <w:cnfStyle w:val="100000000000" w:firstRow="1" w:lastRow="0" w:firstColumn="0" w:lastColumn="0" w:oddVBand="0" w:evenVBand="0" w:oddHBand="0" w:evenHBand="0" w:firstRowFirstColumn="0" w:firstRowLastColumn="0" w:lastRowFirstColumn="0" w:lastRowLastColumn="0"/>
              <w:rPr>
                <w:b w:val="0"/>
                <w:bCs w:val="0"/>
                <w:color w:val="auto"/>
                <w:sz w:val="22"/>
              </w:rPr>
            </w:pPr>
            <w:r w:rsidRPr="00520B76">
              <w:rPr>
                <w:color w:val="auto"/>
                <w:sz w:val="22"/>
              </w:rPr>
              <w:t>FY 2020/21</w:t>
            </w:r>
          </w:p>
        </w:tc>
        <w:tc>
          <w:tcPr>
            <w:tcW w:w="1423" w:type="dxa"/>
            <w:vAlign w:val="center"/>
            <w:hideMark/>
          </w:tcPr>
          <w:p w14:paraId="6C604CA1" w14:textId="77777777" w:rsidR="007D231F" w:rsidRDefault="007D231F" w:rsidP="00520B76">
            <w:pPr>
              <w:jc w:val="center"/>
              <w:cnfStyle w:val="100000000000" w:firstRow="1" w:lastRow="0" w:firstColumn="0" w:lastColumn="0" w:oddVBand="0" w:evenVBand="0" w:oddHBand="0" w:evenHBand="0" w:firstRowFirstColumn="0" w:firstRowLastColumn="0" w:lastRowFirstColumn="0" w:lastRowLastColumn="0"/>
              <w:rPr>
                <w:b w:val="0"/>
                <w:bCs w:val="0"/>
                <w:sz w:val="22"/>
              </w:rPr>
            </w:pPr>
            <w:r w:rsidRPr="00520B76">
              <w:rPr>
                <w:color w:val="auto"/>
                <w:sz w:val="22"/>
              </w:rPr>
              <w:t>FY 2021/22 to</w:t>
            </w:r>
          </w:p>
          <w:p w14:paraId="563C7973" w14:textId="12D8D88B" w:rsidR="00520B76" w:rsidRPr="00520B76" w:rsidRDefault="00520B76" w:rsidP="00520B76">
            <w:pPr>
              <w:jc w:val="center"/>
              <w:cnfStyle w:val="100000000000" w:firstRow="1" w:lastRow="0" w:firstColumn="0" w:lastColumn="0" w:oddVBand="0" w:evenVBand="0" w:oddHBand="0" w:evenHBand="0" w:firstRowFirstColumn="0" w:firstRowLastColumn="0" w:lastRowFirstColumn="0" w:lastRowLastColumn="0"/>
              <w:rPr>
                <w:b w:val="0"/>
                <w:bCs w:val="0"/>
                <w:color w:val="auto"/>
                <w:sz w:val="22"/>
              </w:rPr>
            </w:pPr>
            <w:r>
              <w:rPr>
                <w:color w:val="auto"/>
                <w:sz w:val="22"/>
              </w:rPr>
              <w:t>FY 2023/24</w:t>
            </w:r>
          </w:p>
        </w:tc>
        <w:tc>
          <w:tcPr>
            <w:tcW w:w="1017" w:type="dxa"/>
            <w:vAlign w:val="center"/>
            <w:hideMark/>
          </w:tcPr>
          <w:p w14:paraId="7B7A2CC1" w14:textId="77777777" w:rsidR="007D231F" w:rsidRDefault="007D231F" w:rsidP="00520B76">
            <w:pPr>
              <w:jc w:val="center"/>
              <w:cnfStyle w:val="100000000000" w:firstRow="1" w:lastRow="0" w:firstColumn="0" w:lastColumn="0" w:oddVBand="0" w:evenVBand="0" w:oddHBand="0" w:evenHBand="0" w:firstRowFirstColumn="0" w:firstRowLastColumn="0" w:lastRowFirstColumn="0" w:lastRowLastColumn="0"/>
              <w:rPr>
                <w:b w:val="0"/>
                <w:bCs w:val="0"/>
                <w:sz w:val="22"/>
              </w:rPr>
            </w:pPr>
            <w:r w:rsidRPr="00520B76">
              <w:rPr>
                <w:color w:val="auto"/>
                <w:sz w:val="22"/>
              </w:rPr>
              <w:t>TYCIP</w:t>
            </w:r>
          </w:p>
          <w:p w14:paraId="690C0B83" w14:textId="4032AEDB" w:rsidR="00520B76" w:rsidRPr="00520B76" w:rsidRDefault="00520B76" w:rsidP="00520B76">
            <w:pPr>
              <w:jc w:val="center"/>
              <w:cnfStyle w:val="100000000000" w:firstRow="1" w:lastRow="0" w:firstColumn="0" w:lastColumn="0" w:oddVBand="0" w:evenVBand="0" w:oddHBand="0" w:evenHBand="0" w:firstRowFirstColumn="0" w:firstRowLastColumn="0" w:lastRowFirstColumn="0" w:lastRowLastColumn="0"/>
              <w:rPr>
                <w:b w:val="0"/>
                <w:bCs w:val="0"/>
                <w:color w:val="auto"/>
                <w:sz w:val="22"/>
              </w:rPr>
            </w:pPr>
            <w:r>
              <w:rPr>
                <w:color w:val="auto"/>
                <w:sz w:val="22"/>
              </w:rPr>
              <w:t>Total</w:t>
            </w:r>
          </w:p>
        </w:tc>
      </w:tr>
      <w:tr w:rsidR="00520B76" w:rsidRPr="00520B76" w14:paraId="5462C102" w14:textId="77777777" w:rsidTr="00520B76">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4703" w:type="dxa"/>
            <w:hideMark/>
          </w:tcPr>
          <w:p w14:paraId="7B685B25" w14:textId="77777777" w:rsidR="007D231F" w:rsidRPr="00520B76" w:rsidRDefault="007D231F" w:rsidP="007D231F">
            <w:pPr>
              <w:rPr>
                <w:b w:val="0"/>
                <w:bCs w:val="0"/>
                <w:sz w:val="20"/>
                <w:szCs w:val="20"/>
              </w:rPr>
            </w:pPr>
            <w:r w:rsidRPr="00520B76">
              <w:rPr>
                <w:b w:val="0"/>
                <w:sz w:val="20"/>
                <w:szCs w:val="20"/>
              </w:rPr>
              <w:t>RP-1 Mechanical Restoration Upgrades</w:t>
            </w:r>
          </w:p>
        </w:tc>
        <w:tc>
          <w:tcPr>
            <w:tcW w:w="1057" w:type="dxa"/>
            <w:hideMark/>
          </w:tcPr>
          <w:p w14:paraId="6D7D89EF" w14:textId="77777777" w:rsidR="007D231F" w:rsidRPr="00520B76" w:rsidRDefault="007D231F" w:rsidP="007D231F">
            <w:pPr>
              <w:jc w:val="center"/>
              <w:cnfStyle w:val="000000100000" w:firstRow="0" w:lastRow="0" w:firstColumn="0" w:lastColumn="0" w:oddVBand="0" w:evenVBand="0" w:oddHBand="1" w:evenHBand="0" w:firstRowFirstColumn="0" w:firstRowLastColumn="0" w:lastRowFirstColumn="0" w:lastRowLastColumn="0"/>
              <w:rPr>
                <w:sz w:val="20"/>
                <w:szCs w:val="20"/>
              </w:rPr>
            </w:pPr>
            <w:r w:rsidRPr="00520B76">
              <w:rPr>
                <w:sz w:val="20"/>
                <w:szCs w:val="20"/>
              </w:rPr>
              <w:t xml:space="preserve">$8.90 </w:t>
            </w:r>
          </w:p>
        </w:tc>
        <w:tc>
          <w:tcPr>
            <w:tcW w:w="1057" w:type="dxa"/>
            <w:hideMark/>
          </w:tcPr>
          <w:p w14:paraId="04217A75" w14:textId="77777777" w:rsidR="007D231F" w:rsidRPr="00520B76" w:rsidRDefault="007D231F" w:rsidP="007D231F">
            <w:pPr>
              <w:jc w:val="center"/>
              <w:cnfStyle w:val="000000100000" w:firstRow="0" w:lastRow="0" w:firstColumn="0" w:lastColumn="0" w:oddVBand="0" w:evenVBand="0" w:oddHBand="1" w:evenHBand="0" w:firstRowFirstColumn="0" w:firstRowLastColumn="0" w:lastRowFirstColumn="0" w:lastRowLastColumn="0"/>
              <w:rPr>
                <w:sz w:val="20"/>
                <w:szCs w:val="20"/>
              </w:rPr>
            </w:pPr>
            <w:r w:rsidRPr="00520B76">
              <w:rPr>
                <w:sz w:val="20"/>
                <w:szCs w:val="20"/>
              </w:rPr>
              <w:t xml:space="preserve">$1.00 </w:t>
            </w:r>
          </w:p>
        </w:tc>
        <w:tc>
          <w:tcPr>
            <w:tcW w:w="1423" w:type="dxa"/>
            <w:hideMark/>
          </w:tcPr>
          <w:p w14:paraId="13638BE2" w14:textId="77777777" w:rsidR="007D231F" w:rsidRPr="00520B76" w:rsidRDefault="007D231F" w:rsidP="007D231F">
            <w:pPr>
              <w:jc w:val="center"/>
              <w:cnfStyle w:val="000000100000" w:firstRow="0" w:lastRow="0" w:firstColumn="0" w:lastColumn="0" w:oddVBand="0" w:evenVBand="0" w:oddHBand="1" w:evenHBand="0" w:firstRowFirstColumn="0" w:firstRowLastColumn="0" w:lastRowFirstColumn="0" w:lastRowLastColumn="0"/>
              <w:rPr>
                <w:sz w:val="20"/>
                <w:szCs w:val="20"/>
              </w:rPr>
            </w:pPr>
            <w:r w:rsidRPr="00520B76">
              <w:rPr>
                <w:sz w:val="20"/>
                <w:szCs w:val="20"/>
              </w:rPr>
              <w:t> </w:t>
            </w:r>
          </w:p>
        </w:tc>
        <w:tc>
          <w:tcPr>
            <w:tcW w:w="1017" w:type="dxa"/>
            <w:hideMark/>
          </w:tcPr>
          <w:p w14:paraId="6CFA2B79" w14:textId="77777777" w:rsidR="007D231F" w:rsidRPr="00520B76" w:rsidRDefault="007D231F" w:rsidP="007D231F">
            <w:pPr>
              <w:jc w:val="center"/>
              <w:cnfStyle w:val="000000100000" w:firstRow="0" w:lastRow="0" w:firstColumn="0" w:lastColumn="0" w:oddVBand="0" w:evenVBand="0" w:oddHBand="1" w:evenHBand="0" w:firstRowFirstColumn="0" w:firstRowLastColumn="0" w:lastRowFirstColumn="0" w:lastRowLastColumn="0"/>
              <w:rPr>
                <w:sz w:val="20"/>
                <w:szCs w:val="20"/>
              </w:rPr>
            </w:pPr>
            <w:r w:rsidRPr="00520B76">
              <w:rPr>
                <w:sz w:val="20"/>
                <w:szCs w:val="20"/>
              </w:rPr>
              <w:t xml:space="preserve">$9.90 </w:t>
            </w:r>
          </w:p>
        </w:tc>
      </w:tr>
      <w:tr w:rsidR="00520B76" w:rsidRPr="00520B76" w14:paraId="7EF2F7D8" w14:textId="77777777" w:rsidTr="00520B76">
        <w:trPr>
          <w:trHeight w:val="346"/>
        </w:trPr>
        <w:tc>
          <w:tcPr>
            <w:cnfStyle w:val="001000000000" w:firstRow="0" w:lastRow="0" w:firstColumn="1" w:lastColumn="0" w:oddVBand="0" w:evenVBand="0" w:oddHBand="0" w:evenHBand="0" w:firstRowFirstColumn="0" w:firstRowLastColumn="0" w:lastRowFirstColumn="0" w:lastRowLastColumn="0"/>
            <w:tcW w:w="4703" w:type="dxa"/>
            <w:hideMark/>
          </w:tcPr>
          <w:p w14:paraId="6B9353E6" w14:textId="77777777" w:rsidR="007D231F" w:rsidRPr="00520B76" w:rsidRDefault="007D231F" w:rsidP="007D231F">
            <w:pPr>
              <w:rPr>
                <w:b w:val="0"/>
                <w:bCs w:val="0"/>
                <w:sz w:val="20"/>
                <w:szCs w:val="20"/>
              </w:rPr>
            </w:pPr>
            <w:r w:rsidRPr="00520B76">
              <w:rPr>
                <w:b w:val="0"/>
                <w:sz w:val="20"/>
                <w:szCs w:val="20"/>
              </w:rPr>
              <w:t>RP-4 Influent Screen Replacement</w:t>
            </w:r>
          </w:p>
        </w:tc>
        <w:tc>
          <w:tcPr>
            <w:tcW w:w="1057" w:type="dxa"/>
            <w:hideMark/>
          </w:tcPr>
          <w:p w14:paraId="0E068728" w14:textId="77777777" w:rsidR="007D231F" w:rsidRPr="00520B76" w:rsidRDefault="007D231F" w:rsidP="007D231F">
            <w:pPr>
              <w:jc w:val="center"/>
              <w:cnfStyle w:val="000000000000" w:firstRow="0" w:lastRow="0" w:firstColumn="0" w:lastColumn="0" w:oddVBand="0" w:evenVBand="0" w:oddHBand="0" w:evenHBand="0" w:firstRowFirstColumn="0" w:firstRowLastColumn="0" w:lastRowFirstColumn="0" w:lastRowLastColumn="0"/>
              <w:rPr>
                <w:sz w:val="20"/>
                <w:szCs w:val="20"/>
              </w:rPr>
            </w:pPr>
            <w:r w:rsidRPr="00520B76">
              <w:rPr>
                <w:sz w:val="20"/>
                <w:szCs w:val="20"/>
              </w:rPr>
              <w:t>2.9</w:t>
            </w:r>
          </w:p>
        </w:tc>
        <w:tc>
          <w:tcPr>
            <w:tcW w:w="1057" w:type="dxa"/>
            <w:hideMark/>
          </w:tcPr>
          <w:p w14:paraId="2B7BD2E3" w14:textId="77777777" w:rsidR="007D231F" w:rsidRPr="00520B76" w:rsidRDefault="007D231F" w:rsidP="007D231F">
            <w:pPr>
              <w:jc w:val="center"/>
              <w:cnfStyle w:val="000000000000" w:firstRow="0" w:lastRow="0" w:firstColumn="0" w:lastColumn="0" w:oddVBand="0" w:evenVBand="0" w:oddHBand="0" w:evenHBand="0" w:firstRowFirstColumn="0" w:firstRowLastColumn="0" w:lastRowFirstColumn="0" w:lastRowLastColumn="0"/>
              <w:rPr>
                <w:sz w:val="20"/>
                <w:szCs w:val="20"/>
              </w:rPr>
            </w:pPr>
            <w:r w:rsidRPr="00520B76">
              <w:rPr>
                <w:sz w:val="20"/>
                <w:szCs w:val="20"/>
              </w:rPr>
              <w:t> </w:t>
            </w:r>
          </w:p>
        </w:tc>
        <w:tc>
          <w:tcPr>
            <w:tcW w:w="1423" w:type="dxa"/>
            <w:hideMark/>
          </w:tcPr>
          <w:p w14:paraId="485621A3" w14:textId="77777777" w:rsidR="007D231F" w:rsidRPr="00520B76" w:rsidRDefault="007D231F" w:rsidP="007D231F">
            <w:pPr>
              <w:jc w:val="center"/>
              <w:cnfStyle w:val="000000000000" w:firstRow="0" w:lastRow="0" w:firstColumn="0" w:lastColumn="0" w:oddVBand="0" w:evenVBand="0" w:oddHBand="0" w:evenHBand="0" w:firstRowFirstColumn="0" w:firstRowLastColumn="0" w:lastRowFirstColumn="0" w:lastRowLastColumn="0"/>
              <w:rPr>
                <w:sz w:val="20"/>
                <w:szCs w:val="20"/>
              </w:rPr>
            </w:pPr>
            <w:r w:rsidRPr="00520B76">
              <w:rPr>
                <w:sz w:val="20"/>
                <w:szCs w:val="20"/>
              </w:rPr>
              <w:t> </w:t>
            </w:r>
          </w:p>
        </w:tc>
        <w:tc>
          <w:tcPr>
            <w:tcW w:w="1017" w:type="dxa"/>
            <w:hideMark/>
          </w:tcPr>
          <w:p w14:paraId="2B553585" w14:textId="77777777" w:rsidR="007D231F" w:rsidRPr="00520B76" w:rsidRDefault="007D231F" w:rsidP="007D231F">
            <w:pPr>
              <w:jc w:val="center"/>
              <w:cnfStyle w:val="000000000000" w:firstRow="0" w:lastRow="0" w:firstColumn="0" w:lastColumn="0" w:oddVBand="0" w:evenVBand="0" w:oddHBand="0" w:evenHBand="0" w:firstRowFirstColumn="0" w:firstRowLastColumn="0" w:lastRowFirstColumn="0" w:lastRowLastColumn="0"/>
              <w:rPr>
                <w:sz w:val="20"/>
                <w:szCs w:val="20"/>
              </w:rPr>
            </w:pPr>
            <w:r w:rsidRPr="00520B76">
              <w:rPr>
                <w:sz w:val="20"/>
                <w:szCs w:val="20"/>
              </w:rPr>
              <w:t>2.9</w:t>
            </w:r>
          </w:p>
        </w:tc>
      </w:tr>
      <w:tr w:rsidR="00520B76" w:rsidRPr="00520B76" w14:paraId="21AEE0D8" w14:textId="77777777" w:rsidTr="00520B76">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4703" w:type="dxa"/>
            <w:hideMark/>
          </w:tcPr>
          <w:p w14:paraId="4A1B1314" w14:textId="77777777" w:rsidR="007D231F" w:rsidRPr="00520B76" w:rsidRDefault="007D231F" w:rsidP="007D231F">
            <w:pPr>
              <w:rPr>
                <w:b w:val="0"/>
                <w:bCs w:val="0"/>
                <w:sz w:val="20"/>
                <w:szCs w:val="20"/>
              </w:rPr>
            </w:pPr>
            <w:r w:rsidRPr="00520B76">
              <w:rPr>
                <w:b w:val="0"/>
                <w:sz w:val="20"/>
                <w:szCs w:val="20"/>
              </w:rPr>
              <w:t>RP-1 Primary Effluent Conveyance Improvement</w:t>
            </w:r>
          </w:p>
        </w:tc>
        <w:tc>
          <w:tcPr>
            <w:tcW w:w="1057" w:type="dxa"/>
            <w:hideMark/>
          </w:tcPr>
          <w:p w14:paraId="0BB7B89E" w14:textId="77777777" w:rsidR="007D231F" w:rsidRPr="00520B76" w:rsidRDefault="007D231F" w:rsidP="007D231F">
            <w:pPr>
              <w:jc w:val="center"/>
              <w:cnfStyle w:val="000000100000" w:firstRow="0" w:lastRow="0" w:firstColumn="0" w:lastColumn="0" w:oddVBand="0" w:evenVBand="0" w:oddHBand="1" w:evenHBand="0" w:firstRowFirstColumn="0" w:firstRowLastColumn="0" w:lastRowFirstColumn="0" w:lastRowLastColumn="0"/>
              <w:rPr>
                <w:sz w:val="20"/>
                <w:szCs w:val="20"/>
              </w:rPr>
            </w:pPr>
            <w:r w:rsidRPr="00520B76">
              <w:rPr>
                <w:sz w:val="20"/>
                <w:szCs w:val="20"/>
              </w:rPr>
              <w:t>2.7</w:t>
            </w:r>
          </w:p>
        </w:tc>
        <w:tc>
          <w:tcPr>
            <w:tcW w:w="1057" w:type="dxa"/>
            <w:hideMark/>
          </w:tcPr>
          <w:p w14:paraId="22322A6A" w14:textId="77777777" w:rsidR="007D231F" w:rsidRPr="00520B76" w:rsidRDefault="007D231F" w:rsidP="007D231F">
            <w:pPr>
              <w:jc w:val="center"/>
              <w:cnfStyle w:val="000000100000" w:firstRow="0" w:lastRow="0" w:firstColumn="0" w:lastColumn="0" w:oddVBand="0" w:evenVBand="0" w:oddHBand="1" w:evenHBand="0" w:firstRowFirstColumn="0" w:firstRowLastColumn="0" w:lastRowFirstColumn="0" w:lastRowLastColumn="0"/>
              <w:rPr>
                <w:sz w:val="20"/>
                <w:szCs w:val="20"/>
              </w:rPr>
            </w:pPr>
            <w:r w:rsidRPr="00520B76">
              <w:rPr>
                <w:sz w:val="20"/>
                <w:szCs w:val="20"/>
              </w:rPr>
              <w:t> </w:t>
            </w:r>
          </w:p>
        </w:tc>
        <w:tc>
          <w:tcPr>
            <w:tcW w:w="1423" w:type="dxa"/>
            <w:hideMark/>
          </w:tcPr>
          <w:p w14:paraId="7991F401" w14:textId="77777777" w:rsidR="007D231F" w:rsidRPr="00520B76" w:rsidRDefault="007D231F" w:rsidP="007D231F">
            <w:pPr>
              <w:jc w:val="center"/>
              <w:cnfStyle w:val="000000100000" w:firstRow="0" w:lastRow="0" w:firstColumn="0" w:lastColumn="0" w:oddVBand="0" w:evenVBand="0" w:oddHBand="1" w:evenHBand="0" w:firstRowFirstColumn="0" w:firstRowLastColumn="0" w:lastRowFirstColumn="0" w:lastRowLastColumn="0"/>
              <w:rPr>
                <w:sz w:val="20"/>
                <w:szCs w:val="20"/>
              </w:rPr>
            </w:pPr>
            <w:r w:rsidRPr="00520B76">
              <w:rPr>
                <w:sz w:val="20"/>
                <w:szCs w:val="20"/>
              </w:rPr>
              <w:t> </w:t>
            </w:r>
          </w:p>
        </w:tc>
        <w:tc>
          <w:tcPr>
            <w:tcW w:w="1017" w:type="dxa"/>
            <w:hideMark/>
          </w:tcPr>
          <w:p w14:paraId="6F4ABFD9" w14:textId="77777777" w:rsidR="007D231F" w:rsidRPr="00520B76" w:rsidRDefault="007D231F" w:rsidP="007D231F">
            <w:pPr>
              <w:jc w:val="center"/>
              <w:cnfStyle w:val="000000100000" w:firstRow="0" w:lastRow="0" w:firstColumn="0" w:lastColumn="0" w:oddVBand="0" w:evenVBand="0" w:oddHBand="1" w:evenHBand="0" w:firstRowFirstColumn="0" w:firstRowLastColumn="0" w:lastRowFirstColumn="0" w:lastRowLastColumn="0"/>
              <w:rPr>
                <w:sz w:val="20"/>
                <w:szCs w:val="20"/>
              </w:rPr>
            </w:pPr>
            <w:r w:rsidRPr="00520B76">
              <w:rPr>
                <w:sz w:val="20"/>
                <w:szCs w:val="20"/>
              </w:rPr>
              <w:t>2.7</w:t>
            </w:r>
          </w:p>
        </w:tc>
      </w:tr>
      <w:tr w:rsidR="00520B76" w:rsidRPr="00520B76" w14:paraId="6BBA40AA" w14:textId="77777777" w:rsidTr="00520B76">
        <w:trPr>
          <w:trHeight w:val="346"/>
        </w:trPr>
        <w:tc>
          <w:tcPr>
            <w:cnfStyle w:val="001000000000" w:firstRow="0" w:lastRow="0" w:firstColumn="1" w:lastColumn="0" w:oddVBand="0" w:evenVBand="0" w:oddHBand="0" w:evenHBand="0" w:firstRowFirstColumn="0" w:firstRowLastColumn="0" w:lastRowFirstColumn="0" w:lastRowLastColumn="0"/>
            <w:tcW w:w="4703" w:type="dxa"/>
            <w:hideMark/>
          </w:tcPr>
          <w:p w14:paraId="4CF47F6E" w14:textId="77777777" w:rsidR="007D231F" w:rsidRPr="00520B76" w:rsidRDefault="007D231F" w:rsidP="007D231F">
            <w:pPr>
              <w:rPr>
                <w:b w:val="0"/>
                <w:bCs w:val="0"/>
                <w:sz w:val="20"/>
                <w:szCs w:val="20"/>
              </w:rPr>
            </w:pPr>
            <w:r w:rsidRPr="00520B76">
              <w:rPr>
                <w:b w:val="0"/>
                <w:sz w:val="20"/>
                <w:szCs w:val="20"/>
              </w:rPr>
              <w:t>RSS Haven Avenue Repair &amp; Replace from Airport to Mission</w:t>
            </w:r>
          </w:p>
        </w:tc>
        <w:tc>
          <w:tcPr>
            <w:tcW w:w="1057" w:type="dxa"/>
            <w:hideMark/>
          </w:tcPr>
          <w:p w14:paraId="5AC98B4E" w14:textId="77777777" w:rsidR="007D231F" w:rsidRPr="00520B76" w:rsidRDefault="007D231F" w:rsidP="007D231F">
            <w:pPr>
              <w:jc w:val="center"/>
              <w:cnfStyle w:val="000000000000" w:firstRow="0" w:lastRow="0" w:firstColumn="0" w:lastColumn="0" w:oddVBand="0" w:evenVBand="0" w:oddHBand="0" w:evenHBand="0" w:firstRowFirstColumn="0" w:firstRowLastColumn="0" w:lastRowFirstColumn="0" w:lastRowLastColumn="0"/>
              <w:rPr>
                <w:sz w:val="20"/>
                <w:szCs w:val="20"/>
              </w:rPr>
            </w:pPr>
            <w:r w:rsidRPr="00520B76">
              <w:rPr>
                <w:sz w:val="20"/>
                <w:szCs w:val="20"/>
              </w:rPr>
              <w:t>2</w:t>
            </w:r>
          </w:p>
        </w:tc>
        <w:tc>
          <w:tcPr>
            <w:tcW w:w="1057" w:type="dxa"/>
            <w:hideMark/>
          </w:tcPr>
          <w:p w14:paraId="00F22235" w14:textId="77777777" w:rsidR="007D231F" w:rsidRPr="00520B76" w:rsidRDefault="007D231F" w:rsidP="007D231F">
            <w:pPr>
              <w:jc w:val="center"/>
              <w:cnfStyle w:val="000000000000" w:firstRow="0" w:lastRow="0" w:firstColumn="0" w:lastColumn="0" w:oddVBand="0" w:evenVBand="0" w:oddHBand="0" w:evenHBand="0" w:firstRowFirstColumn="0" w:firstRowLastColumn="0" w:lastRowFirstColumn="0" w:lastRowLastColumn="0"/>
              <w:rPr>
                <w:sz w:val="20"/>
                <w:szCs w:val="20"/>
              </w:rPr>
            </w:pPr>
            <w:r w:rsidRPr="00520B76">
              <w:rPr>
                <w:sz w:val="20"/>
                <w:szCs w:val="20"/>
              </w:rPr>
              <w:t>4</w:t>
            </w:r>
          </w:p>
        </w:tc>
        <w:tc>
          <w:tcPr>
            <w:tcW w:w="1423" w:type="dxa"/>
            <w:hideMark/>
          </w:tcPr>
          <w:p w14:paraId="6416E9D3" w14:textId="77777777" w:rsidR="007D231F" w:rsidRPr="00520B76" w:rsidRDefault="007D231F" w:rsidP="007D231F">
            <w:pPr>
              <w:jc w:val="center"/>
              <w:cnfStyle w:val="000000000000" w:firstRow="0" w:lastRow="0" w:firstColumn="0" w:lastColumn="0" w:oddVBand="0" w:evenVBand="0" w:oddHBand="0" w:evenHBand="0" w:firstRowFirstColumn="0" w:firstRowLastColumn="0" w:lastRowFirstColumn="0" w:lastRowLastColumn="0"/>
              <w:rPr>
                <w:sz w:val="20"/>
                <w:szCs w:val="20"/>
              </w:rPr>
            </w:pPr>
            <w:r w:rsidRPr="00520B76">
              <w:rPr>
                <w:sz w:val="20"/>
                <w:szCs w:val="20"/>
              </w:rPr>
              <w:t> </w:t>
            </w:r>
          </w:p>
        </w:tc>
        <w:tc>
          <w:tcPr>
            <w:tcW w:w="1017" w:type="dxa"/>
            <w:hideMark/>
          </w:tcPr>
          <w:p w14:paraId="5E1521B0" w14:textId="77777777" w:rsidR="007D231F" w:rsidRPr="00520B76" w:rsidRDefault="007D231F" w:rsidP="007D231F">
            <w:pPr>
              <w:jc w:val="center"/>
              <w:cnfStyle w:val="000000000000" w:firstRow="0" w:lastRow="0" w:firstColumn="0" w:lastColumn="0" w:oddVBand="0" w:evenVBand="0" w:oddHBand="0" w:evenHBand="0" w:firstRowFirstColumn="0" w:firstRowLastColumn="0" w:lastRowFirstColumn="0" w:lastRowLastColumn="0"/>
              <w:rPr>
                <w:sz w:val="20"/>
                <w:szCs w:val="20"/>
              </w:rPr>
            </w:pPr>
            <w:r w:rsidRPr="00520B76">
              <w:rPr>
                <w:sz w:val="20"/>
                <w:szCs w:val="20"/>
              </w:rPr>
              <w:t>6</w:t>
            </w:r>
          </w:p>
        </w:tc>
      </w:tr>
      <w:tr w:rsidR="00520B76" w:rsidRPr="00520B76" w14:paraId="0E4E4D1B" w14:textId="77777777" w:rsidTr="00520B76">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4703" w:type="dxa"/>
            <w:hideMark/>
          </w:tcPr>
          <w:p w14:paraId="634FB0E4" w14:textId="77777777" w:rsidR="007D231F" w:rsidRPr="00520B76" w:rsidRDefault="007D231F" w:rsidP="007D231F">
            <w:pPr>
              <w:rPr>
                <w:b w:val="0"/>
                <w:bCs w:val="0"/>
                <w:sz w:val="20"/>
                <w:szCs w:val="20"/>
              </w:rPr>
            </w:pPr>
            <w:r w:rsidRPr="00520B76">
              <w:rPr>
                <w:b w:val="0"/>
                <w:sz w:val="20"/>
                <w:szCs w:val="20"/>
              </w:rPr>
              <w:t>SCADA Enterprise System</w:t>
            </w:r>
          </w:p>
        </w:tc>
        <w:tc>
          <w:tcPr>
            <w:tcW w:w="1057" w:type="dxa"/>
            <w:hideMark/>
          </w:tcPr>
          <w:p w14:paraId="034213D7" w14:textId="77777777" w:rsidR="007D231F" w:rsidRPr="00520B76" w:rsidRDefault="007D231F" w:rsidP="007D231F">
            <w:pPr>
              <w:jc w:val="center"/>
              <w:cnfStyle w:val="000000100000" w:firstRow="0" w:lastRow="0" w:firstColumn="0" w:lastColumn="0" w:oddVBand="0" w:evenVBand="0" w:oddHBand="1" w:evenHBand="0" w:firstRowFirstColumn="0" w:firstRowLastColumn="0" w:lastRowFirstColumn="0" w:lastRowLastColumn="0"/>
              <w:rPr>
                <w:sz w:val="20"/>
                <w:szCs w:val="20"/>
              </w:rPr>
            </w:pPr>
            <w:r w:rsidRPr="00520B76">
              <w:rPr>
                <w:sz w:val="20"/>
                <w:szCs w:val="20"/>
              </w:rPr>
              <w:t>2</w:t>
            </w:r>
          </w:p>
        </w:tc>
        <w:tc>
          <w:tcPr>
            <w:tcW w:w="1057" w:type="dxa"/>
            <w:hideMark/>
          </w:tcPr>
          <w:p w14:paraId="18FFDFFF" w14:textId="77777777" w:rsidR="007D231F" w:rsidRPr="00520B76" w:rsidRDefault="007D231F" w:rsidP="007D231F">
            <w:pPr>
              <w:jc w:val="center"/>
              <w:cnfStyle w:val="000000100000" w:firstRow="0" w:lastRow="0" w:firstColumn="0" w:lastColumn="0" w:oddVBand="0" w:evenVBand="0" w:oddHBand="1" w:evenHBand="0" w:firstRowFirstColumn="0" w:firstRowLastColumn="0" w:lastRowFirstColumn="0" w:lastRowLastColumn="0"/>
              <w:rPr>
                <w:sz w:val="20"/>
                <w:szCs w:val="20"/>
              </w:rPr>
            </w:pPr>
            <w:r w:rsidRPr="00520B76">
              <w:rPr>
                <w:sz w:val="20"/>
                <w:szCs w:val="20"/>
              </w:rPr>
              <w:t>3.5</w:t>
            </w:r>
          </w:p>
        </w:tc>
        <w:tc>
          <w:tcPr>
            <w:tcW w:w="1423" w:type="dxa"/>
            <w:hideMark/>
          </w:tcPr>
          <w:p w14:paraId="2B40F8A8" w14:textId="77777777" w:rsidR="007D231F" w:rsidRPr="00520B76" w:rsidRDefault="007D231F" w:rsidP="007D231F">
            <w:pPr>
              <w:jc w:val="center"/>
              <w:cnfStyle w:val="000000100000" w:firstRow="0" w:lastRow="0" w:firstColumn="0" w:lastColumn="0" w:oddVBand="0" w:evenVBand="0" w:oddHBand="1" w:evenHBand="0" w:firstRowFirstColumn="0" w:firstRowLastColumn="0" w:lastRowFirstColumn="0" w:lastRowLastColumn="0"/>
              <w:rPr>
                <w:sz w:val="20"/>
                <w:szCs w:val="20"/>
              </w:rPr>
            </w:pPr>
            <w:r w:rsidRPr="00520B76">
              <w:rPr>
                <w:sz w:val="20"/>
                <w:szCs w:val="20"/>
              </w:rPr>
              <w:t>3</w:t>
            </w:r>
          </w:p>
        </w:tc>
        <w:tc>
          <w:tcPr>
            <w:tcW w:w="1017" w:type="dxa"/>
            <w:hideMark/>
          </w:tcPr>
          <w:p w14:paraId="7690064A" w14:textId="77777777" w:rsidR="007D231F" w:rsidRPr="00520B76" w:rsidRDefault="007D231F" w:rsidP="007D231F">
            <w:pPr>
              <w:jc w:val="center"/>
              <w:cnfStyle w:val="000000100000" w:firstRow="0" w:lastRow="0" w:firstColumn="0" w:lastColumn="0" w:oddVBand="0" w:evenVBand="0" w:oddHBand="1" w:evenHBand="0" w:firstRowFirstColumn="0" w:firstRowLastColumn="0" w:lastRowFirstColumn="0" w:lastRowLastColumn="0"/>
              <w:rPr>
                <w:sz w:val="20"/>
                <w:szCs w:val="20"/>
              </w:rPr>
            </w:pPr>
            <w:r w:rsidRPr="00520B76">
              <w:rPr>
                <w:sz w:val="20"/>
                <w:szCs w:val="20"/>
              </w:rPr>
              <w:t>8.5</w:t>
            </w:r>
          </w:p>
        </w:tc>
      </w:tr>
      <w:tr w:rsidR="00520B76" w:rsidRPr="00520B76" w14:paraId="0D6267E7" w14:textId="77777777" w:rsidTr="00520B76">
        <w:trPr>
          <w:trHeight w:val="346"/>
        </w:trPr>
        <w:tc>
          <w:tcPr>
            <w:cnfStyle w:val="001000000000" w:firstRow="0" w:lastRow="0" w:firstColumn="1" w:lastColumn="0" w:oddVBand="0" w:evenVBand="0" w:oddHBand="0" w:evenHBand="0" w:firstRowFirstColumn="0" w:firstRowLastColumn="0" w:lastRowFirstColumn="0" w:lastRowLastColumn="0"/>
            <w:tcW w:w="4703" w:type="dxa"/>
            <w:hideMark/>
          </w:tcPr>
          <w:p w14:paraId="6CF0C0F9" w14:textId="77777777" w:rsidR="007D231F" w:rsidRPr="00520B76" w:rsidRDefault="007D231F" w:rsidP="007D231F">
            <w:pPr>
              <w:rPr>
                <w:b w:val="0"/>
                <w:bCs w:val="0"/>
                <w:sz w:val="20"/>
                <w:szCs w:val="20"/>
              </w:rPr>
            </w:pPr>
            <w:r w:rsidRPr="00520B76">
              <w:rPr>
                <w:b w:val="0"/>
                <w:sz w:val="20"/>
                <w:szCs w:val="20"/>
              </w:rPr>
              <w:t>RP-4 Process Improvements</w:t>
            </w:r>
          </w:p>
        </w:tc>
        <w:tc>
          <w:tcPr>
            <w:tcW w:w="1057" w:type="dxa"/>
            <w:hideMark/>
          </w:tcPr>
          <w:p w14:paraId="6B280B30" w14:textId="77777777" w:rsidR="007D231F" w:rsidRPr="00520B76" w:rsidRDefault="007D231F" w:rsidP="007D231F">
            <w:pPr>
              <w:jc w:val="center"/>
              <w:cnfStyle w:val="000000000000" w:firstRow="0" w:lastRow="0" w:firstColumn="0" w:lastColumn="0" w:oddVBand="0" w:evenVBand="0" w:oddHBand="0" w:evenHBand="0" w:firstRowFirstColumn="0" w:firstRowLastColumn="0" w:lastRowFirstColumn="0" w:lastRowLastColumn="0"/>
              <w:rPr>
                <w:sz w:val="20"/>
                <w:szCs w:val="20"/>
              </w:rPr>
            </w:pPr>
            <w:r w:rsidRPr="00520B76">
              <w:rPr>
                <w:sz w:val="20"/>
                <w:szCs w:val="20"/>
              </w:rPr>
              <w:t>1.9</w:t>
            </w:r>
          </w:p>
        </w:tc>
        <w:tc>
          <w:tcPr>
            <w:tcW w:w="1057" w:type="dxa"/>
            <w:hideMark/>
          </w:tcPr>
          <w:p w14:paraId="7A421EA7" w14:textId="77777777" w:rsidR="007D231F" w:rsidRPr="00520B76" w:rsidRDefault="007D231F" w:rsidP="007D231F">
            <w:pPr>
              <w:jc w:val="center"/>
              <w:cnfStyle w:val="000000000000" w:firstRow="0" w:lastRow="0" w:firstColumn="0" w:lastColumn="0" w:oddVBand="0" w:evenVBand="0" w:oddHBand="0" w:evenHBand="0" w:firstRowFirstColumn="0" w:firstRowLastColumn="0" w:lastRowFirstColumn="0" w:lastRowLastColumn="0"/>
              <w:rPr>
                <w:sz w:val="20"/>
                <w:szCs w:val="20"/>
              </w:rPr>
            </w:pPr>
            <w:r w:rsidRPr="00520B76">
              <w:rPr>
                <w:sz w:val="20"/>
                <w:szCs w:val="20"/>
              </w:rPr>
              <w:t>1</w:t>
            </w:r>
          </w:p>
        </w:tc>
        <w:tc>
          <w:tcPr>
            <w:tcW w:w="1423" w:type="dxa"/>
            <w:hideMark/>
          </w:tcPr>
          <w:p w14:paraId="559EF45D" w14:textId="77777777" w:rsidR="007D231F" w:rsidRPr="00520B76" w:rsidRDefault="007D231F" w:rsidP="007D231F">
            <w:pPr>
              <w:jc w:val="center"/>
              <w:cnfStyle w:val="000000000000" w:firstRow="0" w:lastRow="0" w:firstColumn="0" w:lastColumn="0" w:oddVBand="0" w:evenVBand="0" w:oddHBand="0" w:evenHBand="0" w:firstRowFirstColumn="0" w:firstRowLastColumn="0" w:lastRowFirstColumn="0" w:lastRowLastColumn="0"/>
              <w:rPr>
                <w:sz w:val="20"/>
                <w:szCs w:val="20"/>
              </w:rPr>
            </w:pPr>
            <w:r w:rsidRPr="00520B76">
              <w:rPr>
                <w:sz w:val="20"/>
                <w:szCs w:val="20"/>
              </w:rPr>
              <w:t>3.2</w:t>
            </w:r>
          </w:p>
        </w:tc>
        <w:tc>
          <w:tcPr>
            <w:tcW w:w="1017" w:type="dxa"/>
            <w:hideMark/>
          </w:tcPr>
          <w:p w14:paraId="4E116BD3" w14:textId="77777777" w:rsidR="007D231F" w:rsidRPr="00520B76" w:rsidRDefault="007D231F" w:rsidP="007D231F">
            <w:pPr>
              <w:jc w:val="center"/>
              <w:cnfStyle w:val="000000000000" w:firstRow="0" w:lastRow="0" w:firstColumn="0" w:lastColumn="0" w:oddVBand="0" w:evenVBand="0" w:oddHBand="0" w:evenHBand="0" w:firstRowFirstColumn="0" w:firstRowLastColumn="0" w:lastRowFirstColumn="0" w:lastRowLastColumn="0"/>
              <w:rPr>
                <w:sz w:val="20"/>
                <w:szCs w:val="20"/>
              </w:rPr>
            </w:pPr>
            <w:r w:rsidRPr="00520B76">
              <w:rPr>
                <w:sz w:val="20"/>
                <w:szCs w:val="20"/>
              </w:rPr>
              <w:t>6.1</w:t>
            </w:r>
          </w:p>
        </w:tc>
      </w:tr>
      <w:tr w:rsidR="00520B76" w:rsidRPr="00520B76" w14:paraId="08BA5561" w14:textId="77777777" w:rsidTr="00520B76">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4703" w:type="dxa"/>
            <w:hideMark/>
          </w:tcPr>
          <w:p w14:paraId="1338D220" w14:textId="77777777" w:rsidR="007D231F" w:rsidRPr="00520B76" w:rsidRDefault="007D231F" w:rsidP="007D231F">
            <w:pPr>
              <w:rPr>
                <w:b w:val="0"/>
                <w:bCs w:val="0"/>
                <w:sz w:val="20"/>
                <w:szCs w:val="20"/>
              </w:rPr>
            </w:pPr>
            <w:r w:rsidRPr="00520B76">
              <w:rPr>
                <w:b w:val="0"/>
                <w:sz w:val="20"/>
                <w:szCs w:val="20"/>
              </w:rPr>
              <w:t>All Other Capital Projects</w:t>
            </w:r>
          </w:p>
        </w:tc>
        <w:tc>
          <w:tcPr>
            <w:tcW w:w="1057" w:type="dxa"/>
            <w:hideMark/>
          </w:tcPr>
          <w:p w14:paraId="05E1DADD" w14:textId="77777777" w:rsidR="007D231F" w:rsidRPr="00520B76" w:rsidRDefault="007D231F" w:rsidP="007D231F">
            <w:pPr>
              <w:jc w:val="center"/>
              <w:cnfStyle w:val="000000100000" w:firstRow="0" w:lastRow="0" w:firstColumn="0" w:lastColumn="0" w:oddVBand="0" w:evenVBand="0" w:oddHBand="1" w:evenHBand="0" w:firstRowFirstColumn="0" w:firstRowLastColumn="0" w:lastRowFirstColumn="0" w:lastRowLastColumn="0"/>
              <w:rPr>
                <w:sz w:val="20"/>
                <w:szCs w:val="20"/>
              </w:rPr>
            </w:pPr>
            <w:r w:rsidRPr="00520B76">
              <w:rPr>
                <w:sz w:val="20"/>
                <w:szCs w:val="20"/>
              </w:rPr>
              <w:t>5.5</w:t>
            </w:r>
          </w:p>
        </w:tc>
        <w:tc>
          <w:tcPr>
            <w:tcW w:w="1057" w:type="dxa"/>
            <w:hideMark/>
          </w:tcPr>
          <w:p w14:paraId="4495FD78" w14:textId="77777777" w:rsidR="007D231F" w:rsidRPr="00520B76" w:rsidRDefault="007D231F" w:rsidP="007D231F">
            <w:pPr>
              <w:jc w:val="center"/>
              <w:cnfStyle w:val="000000100000" w:firstRow="0" w:lastRow="0" w:firstColumn="0" w:lastColumn="0" w:oddVBand="0" w:evenVBand="0" w:oddHBand="1" w:evenHBand="0" w:firstRowFirstColumn="0" w:firstRowLastColumn="0" w:lastRowFirstColumn="0" w:lastRowLastColumn="0"/>
              <w:rPr>
                <w:sz w:val="20"/>
                <w:szCs w:val="20"/>
              </w:rPr>
            </w:pPr>
            <w:r w:rsidRPr="00520B76">
              <w:rPr>
                <w:sz w:val="20"/>
                <w:szCs w:val="20"/>
              </w:rPr>
              <w:t>11.5</w:t>
            </w:r>
          </w:p>
        </w:tc>
        <w:tc>
          <w:tcPr>
            <w:tcW w:w="1423" w:type="dxa"/>
            <w:hideMark/>
          </w:tcPr>
          <w:p w14:paraId="4929AC60" w14:textId="77777777" w:rsidR="007D231F" w:rsidRPr="00520B76" w:rsidRDefault="007D231F" w:rsidP="007D231F">
            <w:pPr>
              <w:jc w:val="center"/>
              <w:cnfStyle w:val="000000100000" w:firstRow="0" w:lastRow="0" w:firstColumn="0" w:lastColumn="0" w:oddVBand="0" w:evenVBand="0" w:oddHBand="1" w:evenHBand="0" w:firstRowFirstColumn="0" w:firstRowLastColumn="0" w:lastRowFirstColumn="0" w:lastRowLastColumn="0"/>
              <w:rPr>
                <w:sz w:val="20"/>
                <w:szCs w:val="20"/>
              </w:rPr>
            </w:pPr>
            <w:r w:rsidRPr="00520B76">
              <w:rPr>
                <w:sz w:val="20"/>
                <w:szCs w:val="20"/>
              </w:rPr>
              <w:t>17.5</w:t>
            </w:r>
          </w:p>
        </w:tc>
        <w:tc>
          <w:tcPr>
            <w:tcW w:w="1017" w:type="dxa"/>
            <w:hideMark/>
          </w:tcPr>
          <w:p w14:paraId="5EC6B929" w14:textId="77777777" w:rsidR="007D231F" w:rsidRPr="00520B76" w:rsidRDefault="007D231F" w:rsidP="007D231F">
            <w:pPr>
              <w:jc w:val="center"/>
              <w:cnfStyle w:val="000000100000" w:firstRow="0" w:lastRow="0" w:firstColumn="0" w:lastColumn="0" w:oddVBand="0" w:evenVBand="0" w:oddHBand="1" w:evenHBand="0" w:firstRowFirstColumn="0" w:firstRowLastColumn="0" w:lastRowFirstColumn="0" w:lastRowLastColumn="0"/>
              <w:rPr>
                <w:sz w:val="20"/>
                <w:szCs w:val="20"/>
              </w:rPr>
            </w:pPr>
            <w:r w:rsidRPr="00520B76">
              <w:rPr>
                <w:sz w:val="20"/>
                <w:szCs w:val="20"/>
              </w:rPr>
              <w:t>71.7</w:t>
            </w:r>
          </w:p>
        </w:tc>
      </w:tr>
      <w:tr w:rsidR="00520B76" w:rsidRPr="00520B76" w14:paraId="66B47B5C" w14:textId="77777777" w:rsidTr="00520B76">
        <w:trPr>
          <w:trHeight w:val="346"/>
        </w:trPr>
        <w:tc>
          <w:tcPr>
            <w:cnfStyle w:val="001000000000" w:firstRow="0" w:lastRow="0" w:firstColumn="1" w:lastColumn="0" w:oddVBand="0" w:evenVBand="0" w:oddHBand="0" w:evenHBand="0" w:firstRowFirstColumn="0" w:firstRowLastColumn="0" w:lastRowFirstColumn="0" w:lastRowLastColumn="0"/>
            <w:tcW w:w="4703" w:type="dxa"/>
            <w:hideMark/>
          </w:tcPr>
          <w:p w14:paraId="6F6A2AE6" w14:textId="77777777" w:rsidR="007D231F" w:rsidRPr="00520B76" w:rsidRDefault="007D231F" w:rsidP="007D231F">
            <w:pPr>
              <w:rPr>
                <w:b w:val="0"/>
                <w:bCs w:val="0"/>
                <w:sz w:val="20"/>
                <w:szCs w:val="20"/>
              </w:rPr>
            </w:pPr>
            <w:r w:rsidRPr="00520B76">
              <w:rPr>
                <w:sz w:val="20"/>
                <w:szCs w:val="20"/>
              </w:rPr>
              <w:t>Total</w:t>
            </w:r>
          </w:p>
        </w:tc>
        <w:tc>
          <w:tcPr>
            <w:tcW w:w="1057" w:type="dxa"/>
            <w:hideMark/>
          </w:tcPr>
          <w:p w14:paraId="56FCB064" w14:textId="77777777" w:rsidR="007D231F" w:rsidRPr="00520B76" w:rsidRDefault="007D231F" w:rsidP="007D231F">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520B76">
              <w:rPr>
                <w:b/>
                <w:bCs/>
                <w:sz w:val="20"/>
                <w:szCs w:val="20"/>
              </w:rPr>
              <w:t xml:space="preserve">$25.90 </w:t>
            </w:r>
          </w:p>
        </w:tc>
        <w:tc>
          <w:tcPr>
            <w:tcW w:w="1057" w:type="dxa"/>
            <w:hideMark/>
          </w:tcPr>
          <w:p w14:paraId="3707C977" w14:textId="77777777" w:rsidR="007D231F" w:rsidRPr="00520B76" w:rsidRDefault="007D231F" w:rsidP="007D231F">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520B76">
              <w:rPr>
                <w:b/>
                <w:bCs/>
                <w:sz w:val="20"/>
                <w:szCs w:val="20"/>
              </w:rPr>
              <w:t xml:space="preserve">$21.00 </w:t>
            </w:r>
          </w:p>
        </w:tc>
        <w:tc>
          <w:tcPr>
            <w:tcW w:w="1423" w:type="dxa"/>
            <w:hideMark/>
          </w:tcPr>
          <w:p w14:paraId="40C8AB9A" w14:textId="77777777" w:rsidR="007D231F" w:rsidRPr="00520B76" w:rsidRDefault="007D231F" w:rsidP="007D231F">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520B76">
              <w:rPr>
                <w:b/>
                <w:bCs/>
                <w:sz w:val="20"/>
                <w:szCs w:val="20"/>
              </w:rPr>
              <w:t xml:space="preserve">$23.70 </w:t>
            </w:r>
          </w:p>
        </w:tc>
        <w:tc>
          <w:tcPr>
            <w:tcW w:w="1017" w:type="dxa"/>
            <w:hideMark/>
          </w:tcPr>
          <w:p w14:paraId="6D6C16D3" w14:textId="77777777" w:rsidR="007D231F" w:rsidRPr="00520B76" w:rsidRDefault="007D231F" w:rsidP="007D231F">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520B76">
              <w:rPr>
                <w:b/>
                <w:bCs/>
                <w:sz w:val="20"/>
                <w:szCs w:val="20"/>
              </w:rPr>
              <w:t xml:space="preserve">$107.80 </w:t>
            </w:r>
          </w:p>
        </w:tc>
      </w:tr>
    </w:tbl>
    <w:p w14:paraId="0F9FB916" w14:textId="77777777" w:rsidR="007D231F" w:rsidRDefault="007D231F" w:rsidP="00C253B8">
      <w:pPr>
        <w:jc w:val="center"/>
        <w:rPr>
          <w:b/>
        </w:rPr>
      </w:pPr>
    </w:p>
    <w:p w14:paraId="38ED7CD5" w14:textId="7F406247" w:rsidR="007D231F" w:rsidRDefault="007D231F" w:rsidP="00C253B8">
      <w:pPr>
        <w:jc w:val="center"/>
        <w:rPr>
          <w:b/>
        </w:rPr>
      </w:pPr>
    </w:p>
    <w:p w14:paraId="640740D7" w14:textId="054F6C79" w:rsidR="007D231F" w:rsidRDefault="007D231F" w:rsidP="00C253B8">
      <w:pPr>
        <w:jc w:val="center"/>
        <w:rPr>
          <w:b/>
        </w:rPr>
      </w:pPr>
    </w:p>
    <w:p w14:paraId="530114CE" w14:textId="6B87FB2D" w:rsidR="007D231F" w:rsidRDefault="007D231F" w:rsidP="00C253B8">
      <w:pPr>
        <w:jc w:val="center"/>
        <w:rPr>
          <w:b/>
        </w:rPr>
      </w:pPr>
    </w:p>
    <w:p w14:paraId="5ABBCD1B" w14:textId="71B8640A" w:rsidR="007D231F" w:rsidRDefault="007D231F" w:rsidP="00C253B8">
      <w:pPr>
        <w:jc w:val="center"/>
        <w:rPr>
          <w:b/>
        </w:rPr>
      </w:pPr>
    </w:p>
    <w:p w14:paraId="49E2CEAA" w14:textId="1D1F337D" w:rsidR="007D231F" w:rsidRDefault="007D231F" w:rsidP="00C253B8">
      <w:pPr>
        <w:jc w:val="center"/>
        <w:rPr>
          <w:b/>
        </w:rPr>
      </w:pPr>
    </w:p>
    <w:p w14:paraId="5107132F" w14:textId="1777C493" w:rsidR="007D231F" w:rsidRDefault="007D231F" w:rsidP="00C253B8">
      <w:pPr>
        <w:jc w:val="center"/>
        <w:rPr>
          <w:b/>
        </w:rPr>
      </w:pPr>
    </w:p>
    <w:p w14:paraId="68BCEE5A" w14:textId="3310E051" w:rsidR="007D231F" w:rsidRDefault="007D231F" w:rsidP="00C253B8">
      <w:pPr>
        <w:jc w:val="center"/>
        <w:rPr>
          <w:b/>
        </w:rPr>
      </w:pPr>
    </w:p>
    <w:p w14:paraId="297A534D" w14:textId="54DA7C93" w:rsidR="007D231F" w:rsidRDefault="007D231F" w:rsidP="00C253B8">
      <w:pPr>
        <w:jc w:val="center"/>
        <w:rPr>
          <w:b/>
        </w:rPr>
      </w:pPr>
    </w:p>
    <w:p w14:paraId="5CE9F7CE" w14:textId="16D482F7" w:rsidR="007D231F" w:rsidRDefault="007D231F" w:rsidP="00C253B8">
      <w:pPr>
        <w:jc w:val="center"/>
        <w:rPr>
          <w:b/>
        </w:rPr>
      </w:pPr>
    </w:p>
    <w:p w14:paraId="71B0EB22" w14:textId="2B397A67" w:rsidR="007D231F" w:rsidRDefault="007D231F" w:rsidP="00C253B8">
      <w:pPr>
        <w:jc w:val="center"/>
        <w:rPr>
          <w:b/>
        </w:rPr>
      </w:pPr>
    </w:p>
    <w:p w14:paraId="57198F6B" w14:textId="0A9FD916" w:rsidR="007D231F" w:rsidRDefault="007D231F" w:rsidP="00C253B8">
      <w:pPr>
        <w:jc w:val="center"/>
        <w:rPr>
          <w:b/>
        </w:rPr>
      </w:pPr>
    </w:p>
    <w:p w14:paraId="3157D2F8" w14:textId="114553DB" w:rsidR="007D231F" w:rsidRDefault="007D231F" w:rsidP="00C253B8">
      <w:pPr>
        <w:jc w:val="center"/>
        <w:rPr>
          <w:b/>
        </w:rPr>
      </w:pPr>
    </w:p>
    <w:p w14:paraId="2BAEB148" w14:textId="67D3DDE3" w:rsidR="007D231F" w:rsidRDefault="007D231F" w:rsidP="00C253B8">
      <w:pPr>
        <w:jc w:val="center"/>
        <w:rPr>
          <w:b/>
        </w:rPr>
      </w:pPr>
    </w:p>
    <w:p w14:paraId="45F43949" w14:textId="45468DF8" w:rsidR="007D231F" w:rsidRDefault="007D231F" w:rsidP="00C253B8">
      <w:pPr>
        <w:jc w:val="center"/>
        <w:rPr>
          <w:b/>
        </w:rPr>
      </w:pPr>
    </w:p>
    <w:p w14:paraId="3EC144E0" w14:textId="177C20CA" w:rsidR="007D231F" w:rsidRDefault="007D231F" w:rsidP="00C253B8">
      <w:pPr>
        <w:jc w:val="center"/>
        <w:rPr>
          <w:b/>
        </w:rPr>
      </w:pPr>
    </w:p>
    <w:p w14:paraId="1002AFF1" w14:textId="522459C3" w:rsidR="007D231F" w:rsidRDefault="007D231F" w:rsidP="00C253B8">
      <w:pPr>
        <w:jc w:val="center"/>
        <w:rPr>
          <w:b/>
        </w:rPr>
      </w:pPr>
    </w:p>
    <w:p w14:paraId="579463EE" w14:textId="72CA9659" w:rsidR="007D231F" w:rsidRDefault="007D231F" w:rsidP="00C253B8">
      <w:pPr>
        <w:jc w:val="center"/>
        <w:rPr>
          <w:b/>
        </w:rPr>
      </w:pPr>
    </w:p>
    <w:p w14:paraId="60F6BBF5" w14:textId="749587EF" w:rsidR="007D231F" w:rsidRDefault="007D231F" w:rsidP="00C253B8">
      <w:pPr>
        <w:jc w:val="center"/>
        <w:rPr>
          <w:b/>
        </w:rPr>
      </w:pPr>
    </w:p>
    <w:p w14:paraId="278CC52D" w14:textId="5E7511CF" w:rsidR="007D231F" w:rsidRDefault="007D231F" w:rsidP="00C253B8">
      <w:pPr>
        <w:jc w:val="center"/>
        <w:rPr>
          <w:b/>
        </w:rPr>
      </w:pPr>
    </w:p>
    <w:p w14:paraId="4C391075" w14:textId="443945AD" w:rsidR="007D231F" w:rsidRDefault="007D231F" w:rsidP="00C253B8">
      <w:pPr>
        <w:jc w:val="center"/>
        <w:rPr>
          <w:b/>
        </w:rPr>
      </w:pPr>
    </w:p>
    <w:p w14:paraId="6432CA46" w14:textId="0B86C3C3" w:rsidR="007D231F" w:rsidRDefault="007D231F" w:rsidP="00C253B8">
      <w:pPr>
        <w:jc w:val="center"/>
        <w:rPr>
          <w:b/>
        </w:rPr>
      </w:pPr>
    </w:p>
    <w:p w14:paraId="4C10CBA2" w14:textId="3B60DDBE" w:rsidR="007D231F" w:rsidRDefault="007D231F" w:rsidP="00C253B8">
      <w:pPr>
        <w:jc w:val="center"/>
        <w:rPr>
          <w:b/>
        </w:rPr>
      </w:pPr>
    </w:p>
    <w:p w14:paraId="0E279E57" w14:textId="20F21AB1" w:rsidR="007D231F" w:rsidRDefault="007D231F" w:rsidP="00C253B8">
      <w:pPr>
        <w:jc w:val="center"/>
        <w:rPr>
          <w:b/>
        </w:rPr>
      </w:pPr>
    </w:p>
    <w:p w14:paraId="02F6BCCA" w14:textId="4EB5459B" w:rsidR="007D231F" w:rsidRDefault="007D231F" w:rsidP="00C253B8">
      <w:pPr>
        <w:jc w:val="center"/>
        <w:rPr>
          <w:b/>
        </w:rPr>
      </w:pPr>
    </w:p>
    <w:p w14:paraId="1B3C3C4E" w14:textId="70E24384" w:rsidR="007D231F" w:rsidRDefault="007D231F" w:rsidP="00C253B8">
      <w:pPr>
        <w:jc w:val="center"/>
        <w:rPr>
          <w:b/>
        </w:rPr>
      </w:pPr>
    </w:p>
    <w:p w14:paraId="33450E39" w14:textId="7B3F7081" w:rsidR="007D231F" w:rsidRDefault="007D231F" w:rsidP="00C253B8">
      <w:pPr>
        <w:jc w:val="center"/>
        <w:rPr>
          <w:b/>
        </w:rPr>
      </w:pPr>
    </w:p>
    <w:p w14:paraId="4BCBEFDC" w14:textId="69BDB372" w:rsidR="007D231F" w:rsidRDefault="007D231F" w:rsidP="00C253B8">
      <w:pPr>
        <w:jc w:val="center"/>
        <w:rPr>
          <w:b/>
        </w:rPr>
      </w:pPr>
    </w:p>
    <w:p w14:paraId="2D9A052A" w14:textId="08C4F38E" w:rsidR="007D231F" w:rsidRDefault="007D231F" w:rsidP="00C253B8">
      <w:pPr>
        <w:jc w:val="center"/>
        <w:rPr>
          <w:b/>
        </w:rPr>
      </w:pPr>
    </w:p>
    <w:p w14:paraId="06C03328" w14:textId="77777777" w:rsidR="007D231F" w:rsidRDefault="007D231F" w:rsidP="00C253B8">
      <w:pPr>
        <w:jc w:val="center"/>
        <w:rPr>
          <w:b/>
        </w:rPr>
      </w:pPr>
    </w:p>
    <w:p w14:paraId="2C8E03FE" w14:textId="758694D6" w:rsidR="00A02530" w:rsidRDefault="00A02530" w:rsidP="00A02530">
      <w:pPr>
        <w:jc w:val="center"/>
        <w:rPr>
          <w:noProof/>
        </w:rPr>
      </w:pPr>
      <w:r w:rsidRPr="00A24752">
        <w:rPr>
          <w:b/>
        </w:rPr>
        <w:t xml:space="preserve">Appendix </w:t>
      </w:r>
      <w:r>
        <w:rPr>
          <w:b/>
        </w:rPr>
        <w:t>D</w:t>
      </w:r>
      <w:r w:rsidRPr="00A24752">
        <w:rPr>
          <w:b/>
        </w:rPr>
        <w:t>-</w:t>
      </w:r>
      <w:r>
        <w:rPr>
          <w:b/>
        </w:rPr>
        <w:t>3</w:t>
      </w:r>
      <w:r w:rsidR="005262FC">
        <w:rPr>
          <w:b/>
        </w:rPr>
        <w:t>:  Recycled Water Fund Budget</w:t>
      </w:r>
    </w:p>
    <w:p w14:paraId="5C6DCAD0" w14:textId="4306E7E9" w:rsidR="00A02530" w:rsidRDefault="00A02530" w:rsidP="00C253B8">
      <w:pPr>
        <w:jc w:val="center"/>
        <w:rPr>
          <w:rFonts w:ascii="Times" w:hAnsi="Times"/>
          <w:b/>
          <w:bCs/>
        </w:rPr>
      </w:pPr>
    </w:p>
    <w:p w14:paraId="58A0D26D" w14:textId="296531E9" w:rsidR="00A02530" w:rsidRDefault="003330D0" w:rsidP="00C253B8">
      <w:pPr>
        <w:jc w:val="center"/>
        <w:rPr>
          <w:rFonts w:ascii="Times" w:hAnsi="Times"/>
          <w:b/>
          <w:bCs/>
        </w:rPr>
      </w:pPr>
      <w:r w:rsidRPr="003330D0">
        <w:rPr>
          <w:noProof/>
        </w:rPr>
        <w:drawing>
          <wp:inline distT="0" distB="0" distL="0" distR="0" wp14:anchorId="231DCCE7" wp14:editId="564BFB5B">
            <wp:extent cx="6214745" cy="67632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28833" cy="6778596"/>
                    </a:xfrm>
                    <a:prstGeom prst="rect">
                      <a:avLst/>
                    </a:prstGeom>
                    <a:noFill/>
                    <a:ln>
                      <a:noFill/>
                    </a:ln>
                  </pic:spPr>
                </pic:pic>
              </a:graphicData>
            </a:graphic>
          </wp:inline>
        </w:drawing>
      </w:r>
    </w:p>
    <w:p w14:paraId="21A03A9E" w14:textId="4343FCF5" w:rsidR="00A02530" w:rsidRDefault="00A02530" w:rsidP="00C253B8">
      <w:pPr>
        <w:jc w:val="center"/>
        <w:rPr>
          <w:rFonts w:ascii="Times" w:hAnsi="Times"/>
          <w:b/>
          <w:bCs/>
        </w:rPr>
      </w:pPr>
    </w:p>
    <w:p w14:paraId="224C2EAE" w14:textId="5FA77D5C" w:rsidR="00A02530" w:rsidRDefault="00A02530" w:rsidP="00C253B8">
      <w:pPr>
        <w:jc w:val="center"/>
        <w:rPr>
          <w:rFonts w:ascii="Times" w:hAnsi="Times"/>
          <w:b/>
          <w:bCs/>
        </w:rPr>
      </w:pPr>
    </w:p>
    <w:p w14:paraId="37811C72" w14:textId="74C1EB31" w:rsidR="00A02530" w:rsidRDefault="00A02530" w:rsidP="00C253B8">
      <w:pPr>
        <w:jc w:val="center"/>
        <w:rPr>
          <w:rFonts w:ascii="Times" w:hAnsi="Times"/>
          <w:b/>
          <w:bCs/>
        </w:rPr>
      </w:pPr>
    </w:p>
    <w:p w14:paraId="4E68AD90" w14:textId="4FA58CAA" w:rsidR="007D231F" w:rsidRDefault="007D231F" w:rsidP="00C253B8">
      <w:pPr>
        <w:jc w:val="center"/>
        <w:rPr>
          <w:rFonts w:ascii="Times" w:hAnsi="Times"/>
          <w:b/>
          <w:bCs/>
        </w:rPr>
      </w:pPr>
    </w:p>
    <w:p w14:paraId="1D1224E2" w14:textId="5C1DC4BF" w:rsidR="00215B54" w:rsidRDefault="00215B54" w:rsidP="00C253B8">
      <w:pPr>
        <w:jc w:val="center"/>
        <w:rPr>
          <w:rFonts w:ascii="Times" w:hAnsi="Times"/>
          <w:b/>
          <w:bCs/>
        </w:rPr>
      </w:pPr>
    </w:p>
    <w:p w14:paraId="7D11BAA2" w14:textId="77777777" w:rsidR="00215B54" w:rsidRDefault="00215B54" w:rsidP="00C253B8">
      <w:pPr>
        <w:jc w:val="center"/>
        <w:rPr>
          <w:rFonts w:ascii="Times" w:hAnsi="Times"/>
          <w:b/>
          <w:bCs/>
        </w:rPr>
      </w:pPr>
    </w:p>
    <w:p w14:paraId="550491F9" w14:textId="77777777" w:rsidR="0081568E" w:rsidRDefault="0081568E" w:rsidP="00C253B8">
      <w:pPr>
        <w:jc w:val="center"/>
        <w:rPr>
          <w:b/>
        </w:rPr>
      </w:pPr>
    </w:p>
    <w:p w14:paraId="00BBF8E8" w14:textId="4D6273E2" w:rsidR="00184916" w:rsidRDefault="007D231F" w:rsidP="00C253B8">
      <w:pPr>
        <w:jc w:val="center"/>
        <w:rPr>
          <w:b/>
        </w:rPr>
      </w:pPr>
      <w:r>
        <w:rPr>
          <w:b/>
        </w:rPr>
        <w:t xml:space="preserve">Recycled Water Fund </w:t>
      </w:r>
    </w:p>
    <w:p w14:paraId="46488D6F" w14:textId="77777777" w:rsidR="00184916" w:rsidRDefault="00184916" w:rsidP="00184916">
      <w:pPr>
        <w:jc w:val="center"/>
        <w:rPr>
          <w:b/>
        </w:rPr>
      </w:pPr>
      <w:r>
        <w:rPr>
          <w:b/>
        </w:rPr>
        <w:t>Proposed Capital Project List</w:t>
      </w:r>
    </w:p>
    <w:p w14:paraId="47184010" w14:textId="52573F62" w:rsidR="007D231F" w:rsidRDefault="007D231F" w:rsidP="00C253B8">
      <w:pPr>
        <w:jc w:val="center"/>
        <w:rPr>
          <w:rFonts w:ascii="Times" w:hAnsi="Times"/>
          <w:b/>
          <w:bCs/>
        </w:rPr>
      </w:pPr>
    </w:p>
    <w:tbl>
      <w:tblPr>
        <w:tblStyle w:val="GridTable4-Accent1"/>
        <w:tblW w:w="9924" w:type="dxa"/>
        <w:tblLook w:val="04A0" w:firstRow="1" w:lastRow="0" w:firstColumn="1" w:lastColumn="0" w:noHBand="0" w:noVBand="1"/>
      </w:tblPr>
      <w:tblGrid>
        <w:gridCol w:w="5265"/>
        <w:gridCol w:w="1057"/>
        <w:gridCol w:w="1057"/>
        <w:gridCol w:w="1550"/>
        <w:gridCol w:w="995"/>
      </w:tblGrid>
      <w:tr w:rsidR="00520B76" w:rsidRPr="00520B76" w14:paraId="4846B6F0" w14:textId="77777777" w:rsidTr="00520B76">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324" w:type="dxa"/>
            <w:vAlign w:val="center"/>
            <w:hideMark/>
          </w:tcPr>
          <w:p w14:paraId="5DFFEA83" w14:textId="77777777" w:rsidR="007D231F" w:rsidRPr="00520B76" w:rsidRDefault="007D231F" w:rsidP="00520B76">
            <w:pPr>
              <w:jc w:val="center"/>
              <w:rPr>
                <w:b w:val="0"/>
                <w:bCs w:val="0"/>
                <w:color w:val="auto"/>
                <w:sz w:val="22"/>
              </w:rPr>
            </w:pPr>
            <w:r w:rsidRPr="00520B76">
              <w:rPr>
                <w:color w:val="auto"/>
                <w:sz w:val="22"/>
              </w:rPr>
              <w:t>Major Projects ($Millions)</w:t>
            </w:r>
          </w:p>
        </w:tc>
        <w:tc>
          <w:tcPr>
            <w:tcW w:w="1023" w:type="dxa"/>
            <w:vAlign w:val="center"/>
            <w:hideMark/>
          </w:tcPr>
          <w:p w14:paraId="7E5E5EEC" w14:textId="34998A45" w:rsidR="007D231F" w:rsidRPr="00520B76" w:rsidRDefault="007D231F" w:rsidP="00520B76">
            <w:pPr>
              <w:jc w:val="center"/>
              <w:cnfStyle w:val="100000000000" w:firstRow="1" w:lastRow="0" w:firstColumn="0" w:lastColumn="0" w:oddVBand="0" w:evenVBand="0" w:oddHBand="0" w:evenHBand="0" w:firstRowFirstColumn="0" w:firstRowLastColumn="0" w:lastRowFirstColumn="0" w:lastRowLastColumn="0"/>
              <w:rPr>
                <w:b w:val="0"/>
                <w:bCs w:val="0"/>
                <w:color w:val="auto"/>
                <w:sz w:val="22"/>
              </w:rPr>
            </w:pPr>
            <w:r w:rsidRPr="00520B76">
              <w:rPr>
                <w:color w:val="auto"/>
                <w:sz w:val="22"/>
              </w:rPr>
              <w:t>FY</w:t>
            </w:r>
          </w:p>
          <w:p w14:paraId="3DD4860C" w14:textId="05DE58A3" w:rsidR="00520B76" w:rsidRPr="00520B76" w:rsidRDefault="00520B76" w:rsidP="00520B76">
            <w:pPr>
              <w:jc w:val="center"/>
              <w:cnfStyle w:val="100000000000" w:firstRow="1" w:lastRow="0" w:firstColumn="0" w:lastColumn="0" w:oddVBand="0" w:evenVBand="0" w:oddHBand="0" w:evenHBand="0" w:firstRowFirstColumn="0" w:firstRowLastColumn="0" w:lastRowFirstColumn="0" w:lastRowLastColumn="0"/>
              <w:rPr>
                <w:b w:val="0"/>
                <w:bCs w:val="0"/>
                <w:color w:val="auto"/>
                <w:sz w:val="22"/>
              </w:rPr>
            </w:pPr>
            <w:r w:rsidRPr="00520B76">
              <w:rPr>
                <w:color w:val="auto"/>
                <w:sz w:val="22"/>
              </w:rPr>
              <w:t>2019/20</w:t>
            </w:r>
          </w:p>
        </w:tc>
        <w:tc>
          <w:tcPr>
            <w:tcW w:w="1023" w:type="dxa"/>
            <w:vAlign w:val="center"/>
            <w:hideMark/>
          </w:tcPr>
          <w:p w14:paraId="661442C8" w14:textId="77777777" w:rsidR="007D231F" w:rsidRPr="00520B76" w:rsidRDefault="007D231F" w:rsidP="00520B76">
            <w:pPr>
              <w:jc w:val="center"/>
              <w:cnfStyle w:val="100000000000" w:firstRow="1" w:lastRow="0" w:firstColumn="0" w:lastColumn="0" w:oddVBand="0" w:evenVBand="0" w:oddHBand="0" w:evenHBand="0" w:firstRowFirstColumn="0" w:firstRowLastColumn="0" w:lastRowFirstColumn="0" w:lastRowLastColumn="0"/>
              <w:rPr>
                <w:b w:val="0"/>
                <w:bCs w:val="0"/>
                <w:color w:val="auto"/>
                <w:sz w:val="22"/>
              </w:rPr>
            </w:pPr>
            <w:r w:rsidRPr="00520B76">
              <w:rPr>
                <w:color w:val="auto"/>
                <w:sz w:val="22"/>
              </w:rPr>
              <w:t>FY</w:t>
            </w:r>
          </w:p>
          <w:p w14:paraId="1D2747C3" w14:textId="7F57331E" w:rsidR="00520B76" w:rsidRPr="00520B76" w:rsidRDefault="00520B76" w:rsidP="00520B76">
            <w:pPr>
              <w:jc w:val="center"/>
              <w:cnfStyle w:val="100000000000" w:firstRow="1" w:lastRow="0" w:firstColumn="0" w:lastColumn="0" w:oddVBand="0" w:evenVBand="0" w:oddHBand="0" w:evenHBand="0" w:firstRowFirstColumn="0" w:firstRowLastColumn="0" w:lastRowFirstColumn="0" w:lastRowLastColumn="0"/>
              <w:rPr>
                <w:b w:val="0"/>
                <w:bCs w:val="0"/>
                <w:color w:val="auto"/>
                <w:sz w:val="22"/>
              </w:rPr>
            </w:pPr>
            <w:r w:rsidRPr="00520B76">
              <w:rPr>
                <w:color w:val="auto"/>
                <w:sz w:val="22"/>
              </w:rPr>
              <w:t>2020/21</w:t>
            </w:r>
          </w:p>
        </w:tc>
        <w:tc>
          <w:tcPr>
            <w:tcW w:w="1558" w:type="dxa"/>
            <w:vAlign w:val="center"/>
            <w:hideMark/>
          </w:tcPr>
          <w:p w14:paraId="06F8CFAC" w14:textId="77777777" w:rsidR="007D231F" w:rsidRPr="00520B76" w:rsidRDefault="007D231F" w:rsidP="00520B76">
            <w:pPr>
              <w:jc w:val="center"/>
              <w:cnfStyle w:val="100000000000" w:firstRow="1" w:lastRow="0" w:firstColumn="0" w:lastColumn="0" w:oddVBand="0" w:evenVBand="0" w:oddHBand="0" w:evenHBand="0" w:firstRowFirstColumn="0" w:firstRowLastColumn="0" w:lastRowFirstColumn="0" w:lastRowLastColumn="0"/>
              <w:rPr>
                <w:b w:val="0"/>
                <w:bCs w:val="0"/>
                <w:color w:val="auto"/>
                <w:sz w:val="22"/>
              </w:rPr>
            </w:pPr>
            <w:r w:rsidRPr="00520B76">
              <w:rPr>
                <w:color w:val="auto"/>
                <w:sz w:val="22"/>
              </w:rPr>
              <w:t>FY 2021/22 to FY 2023/24</w:t>
            </w:r>
          </w:p>
        </w:tc>
        <w:tc>
          <w:tcPr>
            <w:tcW w:w="996" w:type="dxa"/>
            <w:vAlign w:val="center"/>
            <w:hideMark/>
          </w:tcPr>
          <w:p w14:paraId="6F9DE50F" w14:textId="77777777" w:rsidR="007D231F" w:rsidRPr="00520B76" w:rsidRDefault="007D231F" w:rsidP="00520B76">
            <w:pPr>
              <w:jc w:val="center"/>
              <w:cnfStyle w:val="100000000000" w:firstRow="1" w:lastRow="0" w:firstColumn="0" w:lastColumn="0" w:oddVBand="0" w:evenVBand="0" w:oddHBand="0" w:evenHBand="0" w:firstRowFirstColumn="0" w:firstRowLastColumn="0" w:lastRowFirstColumn="0" w:lastRowLastColumn="0"/>
              <w:rPr>
                <w:b w:val="0"/>
                <w:bCs w:val="0"/>
                <w:color w:val="auto"/>
                <w:sz w:val="22"/>
              </w:rPr>
            </w:pPr>
            <w:r w:rsidRPr="00520B76">
              <w:rPr>
                <w:color w:val="auto"/>
                <w:sz w:val="22"/>
              </w:rPr>
              <w:t>TYCIP</w:t>
            </w:r>
          </w:p>
          <w:p w14:paraId="1243A612" w14:textId="68C6FB09" w:rsidR="00520B76" w:rsidRPr="00520B76" w:rsidRDefault="00520B76" w:rsidP="00520B76">
            <w:pPr>
              <w:jc w:val="center"/>
              <w:cnfStyle w:val="100000000000" w:firstRow="1" w:lastRow="0" w:firstColumn="0" w:lastColumn="0" w:oddVBand="0" w:evenVBand="0" w:oddHBand="0" w:evenHBand="0" w:firstRowFirstColumn="0" w:firstRowLastColumn="0" w:lastRowFirstColumn="0" w:lastRowLastColumn="0"/>
              <w:rPr>
                <w:b w:val="0"/>
                <w:bCs w:val="0"/>
                <w:color w:val="auto"/>
                <w:sz w:val="22"/>
              </w:rPr>
            </w:pPr>
            <w:r w:rsidRPr="00520B76">
              <w:rPr>
                <w:color w:val="auto"/>
                <w:sz w:val="22"/>
              </w:rPr>
              <w:t>Total</w:t>
            </w:r>
          </w:p>
        </w:tc>
      </w:tr>
      <w:tr w:rsidR="00520B76" w:rsidRPr="00520B76" w14:paraId="10A36388" w14:textId="77777777" w:rsidTr="00520B76">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5324" w:type="dxa"/>
            <w:hideMark/>
          </w:tcPr>
          <w:p w14:paraId="31FF95AE" w14:textId="77777777" w:rsidR="007D231F" w:rsidRPr="00520B76" w:rsidRDefault="007D231F" w:rsidP="007D231F">
            <w:pPr>
              <w:rPr>
                <w:b w:val="0"/>
                <w:bCs w:val="0"/>
                <w:sz w:val="20"/>
                <w:szCs w:val="20"/>
              </w:rPr>
            </w:pPr>
            <w:r w:rsidRPr="00520B76">
              <w:rPr>
                <w:b w:val="0"/>
                <w:sz w:val="20"/>
                <w:szCs w:val="20"/>
              </w:rPr>
              <w:t>Recycled Water Intertie to City of Pomona</w:t>
            </w:r>
          </w:p>
        </w:tc>
        <w:tc>
          <w:tcPr>
            <w:tcW w:w="1023" w:type="dxa"/>
            <w:hideMark/>
          </w:tcPr>
          <w:p w14:paraId="351E0835" w14:textId="77777777" w:rsidR="007D231F" w:rsidRPr="00520B76" w:rsidRDefault="007D231F" w:rsidP="007D231F">
            <w:pPr>
              <w:jc w:val="center"/>
              <w:cnfStyle w:val="000000100000" w:firstRow="0" w:lastRow="0" w:firstColumn="0" w:lastColumn="0" w:oddVBand="0" w:evenVBand="0" w:oddHBand="1" w:evenHBand="0" w:firstRowFirstColumn="0" w:firstRowLastColumn="0" w:lastRowFirstColumn="0" w:lastRowLastColumn="0"/>
              <w:rPr>
                <w:sz w:val="20"/>
                <w:szCs w:val="20"/>
              </w:rPr>
            </w:pPr>
            <w:r w:rsidRPr="00520B76">
              <w:rPr>
                <w:sz w:val="20"/>
                <w:szCs w:val="20"/>
              </w:rPr>
              <w:t xml:space="preserve">$2.00 </w:t>
            </w:r>
          </w:p>
        </w:tc>
        <w:tc>
          <w:tcPr>
            <w:tcW w:w="1023" w:type="dxa"/>
            <w:hideMark/>
          </w:tcPr>
          <w:p w14:paraId="5C2DA47B" w14:textId="77777777" w:rsidR="007D231F" w:rsidRPr="00520B76" w:rsidRDefault="007D231F" w:rsidP="007D231F">
            <w:pPr>
              <w:jc w:val="center"/>
              <w:cnfStyle w:val="000000100000" w:firstRow="0" w:lastRow="0" w:firstColumn="0" w:lastColumn="0" w:oddVBand="0" w:evenVBand="0" w:oddHBand="1" w:evenHBand="0" w:firstRowFirstColumn="0" w:firstRowLastColumn="0" w:lastRowFirstColumn="0" w:lastRowLastColumn="0"/>
              <w:rPr>
                <w:sz w:val="20"/>
                <w:szCs w:val="20"/>
              </w:rPr>
            </w:pPr>
            <w:r w:rsidRPr="00520B76">
              <w:rPr>
                <w:sz w:val="20"/>
                <w:szCs w:val="20"/>
              </w:rPr>
              <w:t xml:space="preserve">$3.00 </w:t>
            </w:r>
          </w:p>
        </w:tc>
        <w:tc>
          <w:tcPr>
            <w:tcW w:w="1558" w:type="dxa"/>
            <w:hideMark/>
          </w:tcPr>
          <w:p w14:paraId="5E0BEA9C" w14:textId="77777777" w:rsidR="007D231F" w:rsidRPr="00520B76" w:rsidRDefault="007D231F" w:rsidP="007D231F">
            <w:pPr>
              <w:jc w:val="center"/>
              <w:cnfStyle w:val="000000100000" w:firstRow="0" w:lastRow="0" w:firstColumn="0" w:lastColumn="0" w:oddVBand="0" w:evenVBand="0" w:oddHBand="1" w:evenHBand="0" w:firstRowFirstColumn="0" w:firstRowLastColumn="0" w:lastRowFirstColumn="0" w:lastRowLastColumn="0"/>
              <w:rPr>
                <w:sz w:val="20"/>
                <w:szCs w:val="20"/>
              </w:rPr>
            </w:pPr>
            <w:r w:rsidRPr="00520B76">
              <w:rPr>
                <w:sz w:val="20"/>
                <w:szCs w:val="20"/>
              </w:rPr>
              <w:t xml:space="preserve">$61.00 </w:t>
            </w:r>
          </w:p>
        </w:tc>
        <w:tc>
          <w:tcPr>
            <w:tcW w:w="996" w:type="dxa"/>
            <w:hideMark/>
          </w:tcPr>
          <w:p w14:paraId="0A343A0B" w14:textId="77777777" w:rsidR="007D231F" w:rsidRPr="00520B76" w:rsidRDefault="007D231F" w:rsidP="007D231F">
            <w:pPr>
              <w:jc w:val="center"/>
              <w:cnfStyle w:val="000000100000" w:firstRow="0" w:lastRow="0" w:firstColumn="0" w:lastColumn="0" w:oddVBand="0" w:evenVBand="0" w:oddHBand="1" w:evenHBand="0" w:firstRowFirstColumn="0" w:firstRowLastColumn="0" w:lastRowFirstColumn="0" w:lastRowLastColumn="0"/>
              <w:rPr>
                <w:sz w:val="20"/>
                <w:szCs w:val="20"/>
              </w:rPr>
            </w:pPr>
            <w:r w:rsidRPr="00520B76">
              <w:rPr>
                <w:sz w:val="20"/>
                <w:szCs w:val="20"/>
              </w:rPr>
              <w:t xml:space="preserve">$80.00 </w:t>
            </w:r>
          </w:p>
        </w:tc>
      </w:tr>
      <w:tr w:rsidR="00520B76" w:rsidRPr="00520B76" w14:paraId="3AED1A79" w14:textId="77777777" w:rsidTr="00520B76">
        <w:trPr>
          <w:trHeight w:val="331"/>
        </w:trPr>
        <w:tc>
          <w:tcPr>
            <w:cnfStyle w:val="001000000000" w:firstRow="0" w:lastRow="0" w:firstColumn="1" w:lastColumn="0" w:oddVBand="0" w:evenVBand="0" w:oddHBand="0" w:evenHBand="0" w:firstRowFirstColumn="0" w:firstRowLastColumn="0" w:lastRowFirstColumn="0" w:lastRowLastColumn="0"/>
            <w:tcW w:w="5324" w:type="dxa"/>
            <w:hideMark/>
          </w:tcPr>
          <w:p w14:paraId="672E2056" w14:textId="77777777" w:rsidR="007D231F" w:rsidRPr="00520B76" w:rsidRDefault="007D231F" w:rsidP="007D231F">
            <w:pPr>
              <w:rPr>
                <w:b w:val="0"/>
                <w:bCs w:val="0"/>
                <w:sz w:val="20"/>
                <w:szCs w:val="20"/>
              </w:rPr>
            </w:pPr>
            <w:r w:rsidRPr="00520B76">
              <w:rPr>
                <w:b w:val="0"/>
                <w:sz w:val="20"/>
                <w:szCs w:val="20"/>
              </w:rPr>
              <w:t>Recycled Water Intertie to Jurupa Community Services District</w:t>
            </w:r>
          </w:p>
        </w:tc>
        <w:tc>
          <w:tcPr>
            <w:tcW w:w="1023" w:type="dxa"/>
            <w:hideMark/>
          </w:tcPr>
          <w:p w14:paraId="6F9B6B77" w14:textId="0202F642" w:rsidR="007D231F" w:rsidRPr="00520B76" w:rsidRDefault="007D231F" w:rsidP="007D231F">
            <w:pPr>
              <w:jc w:val="center"/>
              <w:cnfStyle w:val="000000000000" w:firstRow="0" w:lastRow="0" w:firstColumn="0" w:lastColumn="0" w:oddVBand="0" w:evenVBand="0" w:oddHBand="0" w:evenHBand="0" w:firstRowFirstColumn="0" w:firstRowLastColumn="0" w:lastRowFirstColumn="0" w:lastRowLastColumn="0"/>
              <w:rPr>
                <w:sz w:val="20"/>
                <w:szCs w:val="20"/>
              </w:rPr>
            </w:pPr>
            <w:r w:rsidRPr="00520B76">
              <w:rPr>
                <w:sz w:val="20"/>
                <w:szCs w:val="20"/>
              </w:rPr>
              <w:t>1</w:t>
            </w:r>
            <w:r w:rsidR="00520B76" w:rsidRPr="00520B76">
              <w:rPr>
                <w:sz w:val="20"/>
                <w:szCs w:val="20"/>
              </w:rPr>
              <w:t>.0</w:t>
            </w:r>
          </w:p>
        </w:tc>
        <w:tc>
          <w:tcPr>
            <w:tcW w:w="1023" w:type="dxa"/>
            <w:hideMark/>
          </w:tcPr>
          <w:p w14:paraId="3876A779" w14:textId="77777777" w:rsidR="007D231F" w:rsidRPr="00520B76" w:rsidRDefault="007D231F" w:rsidP="007D231F">
            <w:pPr>
              <w:jc w:val="center"/>
              <w:cnfStyle w:val="000000000000" w:firstRow="0" w:lastRow="0" w:firstColumn="0" w:lastColumn="0" w:oddVBand="0" w:evenVBand="0" w:oddHBand="0" w:evenHBand="0" w:firstRowFirstColumn="0" w:firstRowLastColumn="0" w:lastRowFirstColumn="0" w:lastRowLastColumn="0"/>
              <w:rPr>
                <w:sz w:val="20"/>
                <w:szCs w:val="20"/>
              </w:rPr>
            </w:pPr>
            <w:r w:rsidRPr="00520B76">
              <w:rPr>
                <w:sz w:val="20"/>
                <w:szCs w:val="20"/>
              </w:rPr>
              <w:t>18.5</w:t>
            </w:r>
          </w:p>
        </w:tc>
        <w:tc>
          <w:tcPr>
            <w:tcW w:w="1558" w:type="dxa"/>
            <w:hideMark/>
          </w:tcPr>
          <w:p w14:paraId="3B038E85" w14:textId="77777777" w:rsidR="007D231F" w:rsidRPr="00520B76" w:rsidRDefault="007D231F" w:rsidP="007D231F">
            <w:pPr>
              <w:jc w:val="center"/>
              <w:cnfStyle w:val="000000000000" w:firstRow="0" w:lastRow="0" w:firstColumn="0" w:lastColumn="0" w:oddVBand="0" w:evenVBand="0" w:oddHBand="0" w:evenHBand="0" w:firstRowFirstColumn="0" w:firstRowLastColumn="0" w:lastRowFirstColumn="0" w:lastRowLastColumn="0"/>
              <w:rPr>
                <w:sz w:val="20"/>
                <w:szCs w:val="20"/>
              </w:rPr>
            </w:pPr>
            <w:r w:rsidRPr="00520B76">
              <w:rPr>
                <w:sz w:val="20"/>
                <w:szCs w:val="20"/>
              </w:rPr>
              <w:t>11.8</w:t>
            </w:r>
          </w:p>
        </w:tc>
        <w:tc>
          <w:tcPr>
            <w:tcW w:w="996" w:type="dxa"/>
            <w:hideMark/>
          </w:tcPr>
          <w:p w14:paraId="127F5BB0" w14:textId="77777777" w:rsidR="007D231F" w:rsidRPr="00520B76" w:rsidRDefault="007D231F" w:rsidP="007D231F">
            <w:pPr>
              <w:jc w:val="center"/>
              <w:cnfStyle w:val="000000000000" w:firstRow="0" w:lastRow="0" w:firstColumn="0" w:lastColumn="0" w:oddVBand="0" w:evenVBand="0" w:oddHBand="0" w:evenHBand="0" w:firstRowFirstColumn="0" w:firstRowLastColumn="0" w:lastRowFirstColumn="0" w:lastRowLastColumn="0"/>
              <w:rPr>
                <w:sz w:val="20"/>
                <w:szCs w:val="20"/>
              </w:rPr>
            </w:pPr>
            <w:r w:rsidRPr="00520B76">
              <w:rPr>
                <w:sz w:val="20"/>
                <w:szCs w:val="20"/>
              </w:rPr>
              <w:t>31.3</w:t>
            </w:r>
          </w:p>
        </w:tc>
      </w:tr>
      <w:tr w:rsidR="00520B76" w:rsidRPr="00520B76" w14:paraId="7B6BF439" w14:textId="77777777" w:rsidTr="00520B76">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5324" w:type="dxa"/>
            <w:hideMark/>
          </w:tcPr>
          <w:p w14:paraId="351D5BE4" w14:textId="77777777" w:rsidR="007D231F" w:rsidRPr="00520B76" w:rsidRDefault="007D231F" w:rsidP="007D231F">
            <w:pPr>
              <w:rPr>
                <w:b w:val="0"/>
                <w:bCs w:val="0"/>
                <w:sz w:val="20"/>
                <w:szCs w:val="20"/>
              </w:rPr>
            </w:pPr>
            <w:r w:rsidRPr="00520B76">
              <w:rPr>
                <w:b w:val="0"/>
                <w:sz w:val="20"/>
                <w:szCs w:val="20"/>
              </w:rPr>
              <w:t>Baseline Recycled Water Pipeline Extension</w:t>
            </w:r>
          </w:p>
        </w:tc>
        <w:tc>
          <w:tcPr>
            <w:tcW w:w="1023" w:type="dxa"/>
            <w:hideMark/>
          </w:tcPr>
          <w:p w14:paraId="425AFBB1" w14:textId="77777777" w:rsidR="007D231F" w:rsidRPr="00520B76" w:rsidRDefault="007D231F" w:rsidP="007D231F">
            <w:pPr>
              <w:jc w:val="center"/>
              <w:cnfStyle w:val="000000100000" w:firstRow="0" w:lastRow="0" w:firstColumn="0" w:lastColumn="0" w:oddVBand="0" w:evenVBand="0" w:oddHBand="1" w:evenHBand="0" w:firstRowFirstColumn="0" w:firstRowLastColumn="0" w:lastRowFirstColumn="0" w:lastRowLastColumn="0"/>
              <w:rPr>
                <w:sz w:val="20"/>
                <w:szCs w:val="20"/>
              </w:rPr>
            </w:pPr>
            <w:r w:rsidRPr="00520B76">
              <w:rPr>
                <w:sz w:val="20"/>
                <w:szCs w:val="20"/>
              </w:rPr>
              <w:t>5.7</w:t>
            </w:r>
          </w:p>
        </w:tc>
        <w:tc>
          <w:tcPr>
            <w:tcW w:w="1023" w:type="dxa"/>
            <w:hideMark/>
          </w:tcPr>
          <w:p w14:paraId="3776822E" w14:textId="77777777" w:rsidR="007D231F" w:rsidRPr="00520B76" w:rsidRDefault="007D231F" w:rsidP="007D231F">
            <w:pPr>
              <w:jc w:val="center"/>
              <w:cnfStyle w:val="000000100000" w:firstRow="0" w:lastRow="0" w:firstColumn="0" w:lastColumn="0" w:oddVBand="0" w:evenVBand="0" w:oddHBand="1" w:evenHBand="0" w:firstRowFirstColumn="0" w:firstRowLastColumn="0" w:lastRowFirstColumn="0" w:lastRowLastColumn="0"/>
              <w:rPr>
                <w:sz w:val="20"/>
                <w:szCs w:val="20"/>
              </w:rPr>
            </w:pPr>
            <w:r w:rsidRPr="00520B76">
              <w:rPr>
                <w:sz w:val="20"/>
                <w:szCs w:val="20"/>
              </w:rPr>
              <w:t>0</w:t>
            </w:r>
          </w:p>
        </w:tc>
        <w:tc>
          <w:tcPr>
            <w:tcW w:w="1558" w:type="dxa"/>
            <w:hideMark/>
          </w:tcPr>
          <w:p w14:paraId="586CE01F" w14:textId="77777777" w:rsidR="007D231F" w:rsidRPr="00520B76" w:rsidRDefault="007D231F" w:rsidP="007D231F">
            <w:pPr>
              <w:jc w:val="center"/>
              <w:cnfStyle w:val="000000100000" w:firstRow="0" w:lastRow="0" w:firstColumn="0" w:lastColumn="0" w:oddVBand="0" w:evenVBand="0" w:oddHBand="1" w:evenHBand="0" w:firstRowFirstColumn="0" w:firstRowLastColumn="0" w:lastRowFirstColumn="0" w:lastRowLastColumn="0"/>
              <w:rPr>
                <w:sz w:val="20"/>
                <w:szCs w:val="20"/>
              </w:rPr>
            </w:pPr>
            <w:r w:rsidRPr="00520B76">
              <w:rPr>
                <w:sz w:val="20"/>
                <w:szCs w:val="20"/>
              </w:rPr>
              <w:t>0</w:t>
            </w:r>
          </w:p>
        </w:tc>
        <w:tc>
          <w:tcPr>
            <w:tcW w:w="996" w:type="dxa"/>
            <w:hideMark/>
          </w:tcPr>
          <w:p w14:paraId="63DEF50E" w14:textId="77777777" w:rsidR="007D231F" w:rsidRPr="00520B76" w:rsidRDefault="007D231F" w:rsidP="007D231F">
            <w:pPr>
              <w:jc w:val="center"/>
              <w:cnfStyle w:val="000000100000" w:firstRow="0" w:lastRow="0" w:firstColumn="0" w:lastColumn="0" w:oddVBand="0" w:evenVBand="0" w:oddHBand="1" w:evenHBand="0" w:firstRowFirstColumn="0" w:firstRowLastColumn="0" w:lastRowFirstColumn="0" w:lastRowLastColumn="0"/>
              <w:rPr>
                <w:sz w:val="20"/>
                <w:szCs w:val="20"/>
              </w:rPr>
            </w:pPr>
            <w:r w:rsidRPr="00520B76">
              <w:rPr>
                <w:sz w:val="20"/>
                <w:szCs w:val="20"/>
              </w:rPr>
              <w:t>5.7</w:t>
            </w:r>
          </w:p>
        </w:tc>
      </w:tr>
      <w:tr w:rsidR="00520B76" w:rsidRPr="00520B76" w14:paraId="02906A07" w14:textId="77777777" w:rsidTr="00520B76">
        <w:trPr>
          <w:trHeight w:val="316"/>
        </w:trPr>
        <w:tc>
          <w:tcPr>
            <w:cnfStyle w:val="001000000000" w:firstRow="0" w:lastRow="0" w:firstColumn="1" w:lastColumn="0" w:oddVBand="0" w:evenVBand="0" w:oddHBand="0" w:evenHBand="0" w:firstRowFirstColumn="0" w:firstRowLastColumn="0" w:lastRowFirstColumn="0" w:lastRowLastColumn="0"/>
            <w:tcW w:w="5324" w:type="dxa"/>
            <w:hideMark/>
          </w:tcPr>
          <w:p w14:paraId="77851C40" w14:textId="77777777" w:rsidR="007D231F" w:rsidRPr="00520B76" w:rsidRDefault="007D231F" w:rsidP="007D231F">
            <w:pPr>
              <w:rPr>
                <w:b w:val="0"/>
                <w:bCs w:val="0"/>
                <w:sz w:val="20"/>
                <w:szCs w:val="20"/>
              </w:rPr>
            </w:pPr>
            <w:r w:rsidRPr="00520B76">
              <w:rPr>
                <w:b w:val="0"/>
                <w:sz w:val="20"/>
                <w:szCs w:val="20"/>
              </w:rPr>
              <w:t>RP-1 1158 Recycled Water Pump Station Upgrades</w:t>
            </w:r>
          </w:p>
        </w:tc>
        <w:tc>
          <w:tcPr>
            <w:tcW w:w="1023" w:type="dxa"/>
            <w:hideMark/>
          </w:tcPr>
          <w:p w14:paraId="4899B2AB" w14:textId="77777777" w:rsidR="007D231F" w:rsidRPr="00520B76" w:rsidRDefault="007D231F" w:rsidP="007D231F">
            <w:pPr>
              <w:jc w:val="center"/>
              <w:cnfStyle w:val="000000000000" w:firstRow="0" w:lastRow="0" w:firstColumn="0" w:lastColumn="0" w:oddVBand="0" w:evenVBand="0" w:oddHBand="0" w:evenHBand="0" w:firstRowFirstColumn="0" w:firstRowLastColumn="0" w:lastRowFirstColumn="0" w:lastRowLastColumn="0"/>
              <w:rPr>
                <w:sz w:val="20"/>
                <w:szCs w:val="20"/>
              </w:rPr>
            </w:pPr>
            <w:r w:rsidRPr="00520B76">
              <w:rPr>
                <w:sz w:val="20"/>
                <w:szCs w:val="20"/>
              </w:rPr>
              <w:t>4.7</w:t>
            </w:r>
          </w:p>
        </w:tc>
        <w:tc>
          <w:tcPr>
            <w:tcW w:w="1023" w:type="dxa"/>
            <w:hideMark/>
          </w:tcPr>
          <w:p w14:paraId="4B6827DB" w14:textId="77777777" w:rsidR="007D231F" w:rsidRPr="00520B76" w:rsidRDefault="007D231F" w:rsidP="007D231F">
            <w:pPr>
              <w:jc w:val="center"/>
              <w:cnfStyle w:val="000000000000" w:firstRow="0" w:lastRow="0" w:firstColumn="0" w:lastColumn="0" w:oddVBand="0" w:evenVBand="0" w:oddHBand="0" w:evenHBand="0" w:firstRowFirstColumn="0" w:firstRowLastColumn="0" w:lastRowFirstColumn="0" w:lastRowLastColumn="0"/>
              <w:rPr>
                <w:sz w:val="20"/>
                <w:szCs w:val="20"/>
              </w:rPr>
            </w:pPr>
            <w:r w:rsidRPr="00520B76">
              <w:rPr>
                <w:sz w:val="20"/>
                <w:szCs w:val="20"/>
              </w:rPr>
              <w:t>0</w:t>
            </w:r>
          </w:p>
        </w:tc>
        <w:tc>
          <w:tcPr>
            <w:tcW w:w="1558" w:type="dxa"/>
            <w:hideMark/>
          </w:tcPr>
          <w:p w14:paraId="75CDDF50" w14:textId="77777777" w:rsidR="007D231F" w:rsidRPr="00520B76" w:rsidRDefault="007D231F" w:rsidP="007D231F">
            <w:pPr>
              <w:jc w:val="center"/>
              <w:cnfStyle w:val="000000000000" w:firstRow="0" w:lastRow="0" w:firstColumn="0" w:lastColumn="0" w:oddVBand="0" w:evenVBand="0" w:oddHBand="0" w:evenHBand="0" w:firstRowFirstColumn="0" w:firstRowLastColumn="0" w:lastRowFirstColumn="0" w:lastRowLastColumn="0"/>
              <w:rPr>
                <w:sz w:val="20"/>
                <w:szCs w:val="20"/>
              </w:rPr>
            </w:pPr>
            <w:r w:rsidRPr="00520B76">
              <w:rPr>
                <w:sz w:val="20"/>
                <w:szCs w:val="20"/>
              </w:rPr>
              <w:t>0</w:t>
            </w:r>
          </w:p>
        </w:tc>
        <w:tc>
          <w:tcPr>
            <w:tcW w:w="996" w:type="dxa"/>
            <w:hideMark/>
          </w:tcPr>
          <w:p w14:paraId="75FCE955" w14:textId="77777777" w:rsidR="007D231F" w:rsidRPr="00520B76" w:rsidRDefault="007D231F" w:rsidP="007D231F">
            <w:pPr>
              <w:jc w:val="center"/>
              <w:cnfStyle w:val="000000000000" w:firstRow="0" w:lastRow="0" w:firstColumn="0" w:lastColumn="0" w:oddVBand="0" w:evenVBand="0" w:oddHBand="0" w:evenHBand="0" w:firstRowFirstColumn="0" w:firstRowLastColumn="0" w:lastRowFirstColumn="0" w:lastRowLastColumn="0"/>
              <w:rPr>
                <w:sz w:val="20"/>
                <w:szCs w:val="20"/>
              </w:rPr>
            </w:pPr>
            <w:r w:rsidRPr="00520B76">
              <w:rPr>
                <w:sz w:val="20"/>
                <w:szCs w:val="20"/>
              </w:rPr>
              <w:t>4.7</w:t>
            </w:r>
          </w:p>
        </w:tc>
      </w:tr>
      <w:tr w:rsidR="00520B76" w:rsidRPr="00520B76" w14:paraId="2354FE08" w14:textId="77777777" w:rsidTr="00520B76">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5324" w:type="dxa"/>
            <w:hideMark/>
          </w:tcPr>
          <w:p w14:paraId="794043AA" w14:textId="77777777" w:rsidR="007D231F" w:rsidRPr="00520B76" w:rsidRDefault="007D231F" w:rsidP="007D231F">
            <w:pPr>
              <w:rPr>
                <w:b w:val="0"/>
                <w:bCs w:val="0"/>
                <w:sz w:val="20"/>
                <w:szCs w:val="20"/>
              </w:rPr>
            </w:pPr>
            <w:r w:rsidRPr="00520B76">
              <w:rPr>
                <w:b w:val="0"/>
                <w:sz w:val="20"/>
                <w:szCs w:val="20"/>
              </w:rPr>
              <w:t>Napa Lateral (San Bernardino Speedway, CSI, Prologis)</w:t>
            </w:r>
          </w:p>
        </w:tc>
        <w:tc>
          <w:tcPr>
            <w:tcW w:w="1023" w:type="dxa"/>
            <w:hideMark/>
          </w:tcPr>
          <w:p w14:paraId="3170C8A6" w14:textId="77777777" w:rsidR="007D231F" w:rsidRPr="00520B76" w:rsidRDefault="007D231F" w:rsidP="007D231F">
            <w:pPr>
              <w:jc w:val="center"/>
              <w:cnfStyle w:val="000000100000" w:firstRow="0" w:lastRow="0" w:firstColumn="0" w:lastColumn="0" w:oddVBand="0" w:evenVBand="0" w:oddHBand="1" w:evenHBand="0" w:firstRowFirstColumn="0" w:firstRowLastColumn="0" w:lastRowFirstColumn="0" w:lastRowLastColumn="0"/>
              <w:rPr>
                <w:sz w:val="20"/>
                <w:szCs w:val="20"/>
              </w:rPr>
            </w:pPr>
            <w:r w:rsidRPr="00520B76">
              <w:rPr>
                <w:sz w:val="20"/>
                <w:szCs w:val="20"/>
              </w:rPr>
              <w:t>1.6</w:t>
            </w:r>
          </w:p>
        </w:tc>
        <w:tc>
          <w:tcPr>
            <w:tcW w:w="1023" w:type="dxa"/>
            <w:hideMark/>
          </w:tcPr>
          <w:p w14:paraId="4ECE4479" w14:textId="77777777" w:rsidR="007D231F" w:rsidRPr="00520B76" w:rsidRDefault="007D231F" w:rsidP="007D231F">
            <w:pPr>
              <w:jc w:val="center"/>
              <w:cnfStyle w:val="000000100000" w:firstRow="0" w:lastRow="0" w:firstColumn="0" w:lastColumn="0" w:oddVBand="0" w:evenVBand="0" w:oddHBand="1" w:evenHBand="0" w:firstRowFirstColumn="0" w:firstRowLastColumn="0" w:lastRowFirstColumn="0" w:lastRowLastColumn="0"/>
              <w:rPr>
                <w:sz w:val="20"/>
                <w:szCs w:val="20"/>
              </w:rPr>
            </w:pPr>
            <w:r w:rsidRPr="00520B76">
              <w:rPr>
                <w:sz w:val="20"/>
                <w:szCs w:val="20"/>
              </w:rPr>
              <w:t>0</w:t>
            </w:r>
          </w:p>
        </w:tc>
        <w:tc>
          <w:tcPr>
            <w:tcW w:w="1558" w:type="dxa"/>
            <w:hideMark/>
          </w:tcPr>
          <w:p w14:paraId="5A25AA53" w14:textId="77777777" w:rsidR="007D231F" w:rsidRPr="00520B76" w:rsidRDefault="007D231F" w:rsidP="007D231F">
            <w:pPr>
              <w:jc w:val="center"/>
              <w:cnfStyle w:val="000000100000" w:firstRow="0" w:lastRow="0" w:firstColumn="0" w:lastColumn="0" w:oddVBand="0" w:evenVBand="0" w:oddHBand="1" w:evenHBand="0" w:firstRowFirstColumn="0" w:firstRowLastColumn="0" w:lastRowFirstColumn="0" w:lastRowLastColumn="0"/>
              <w:rPr>
                <w:sz w:val="20"/>
                <w:szCs w:val="20"/>
              </w:rPr>
            </w:pPr>
            <w:r w:rsidRPr="00520B76">
              <w:rPr>
                <w:sz w:val="20"/>
                <w:szCs w:val="20"/>
              </w:rPr>
              <w:t>0</w:t>
            </w:r>
          </w:p>
        </w:tc>
        <w:tc>
          <w:tcPr>
            <w:tcW w:w="996" w:type="dxa"/>
            <w:hideMark/>
          </w:tcPr>
          <w:p w14:paraId="72042038" w14:textId="77777777" w:rsidR="007D231F" w:rsidRPr="00520B76" w:rsidRDefault="007D231F" w:rsidP="007D231F">
            <w:pPr>
              <w:jc w:val="center"/>
              <w:cnfStyle w:val="000000100000" w:firstRow="0" w:lastRow="0" w:firstColumn="0" w:lastColumn="0" w:oddVBand="0" w:evenVBand="0" w:oddHBand="1" w:evenHBand="0" w:firstRowFirstColumn="0" w:firstRowLastColumn="0" w:lastRowFirstColumn="0" w:lastRowLastColumn="0"/>
              <w:rPr>
                <w:sz w:val="20"/>
                <w:szCs w:val="20"/>
              </w:rPr>
            </w:pPr>
            <w:r w:rsidRPr="00520B76">
              <w:rPr>
                <w:sz w:val="20"/>
                <w:szCs w:val="20"/>
              </w:rPr>
              <w:t>1.6</w:t>
            </w:r>
          </w:p>
        </w:tc>
      </w:tr>
      <w:tr w:rsidR="00520B76" w:rsidRPr="00520B76" w14:paraId="39C7565F" w14:textId="77777777" w:rsidTr="00520B76">
        <w:trPr>
          <w:trHeight w:val="316"/>
        </w:trPr>
        <w:tc>
          <w:tcPr>
            <w:cnfStyle w:val="001000000000" w:firstRow="0" w:lastRow="0" w:firstColumn="1" w:lastColumn="0" w:oddVBand="0" w:evenVBand="0" w:oddHBand="0" w:evenHBand="0" w:firstRowFirstColumn="0" w:firstRowLastColumn="0" w:lastRowFirstColumn="0" w:lastRowLastColumn="0"/>
            <w:tcW w:w="5324" w:type="dxa"/>
            <w:hideMark/>
          </w:tcPr>
          <w:p w14:paraId="0EA22BC9" w14:textId="77777777" w:rsidR="007D231F" w:rsidRPr="00520B76" w:rsidRDefault="007D231F" w:rsidP="007D231F">
            <w:pPr>
              <w:rPr>
                <w:b w:val="0"/>
                <w:bCs w:val="0"/>
                <w:sz w:val="20"/>
                <w:szCs w:val="20"/>
              </w:rPr>
            </w:pPr>
            <w:r w:rsidRPr="00520B76">
              <w:rPr>
                <w:b w:val="0"/>
                <w:sz w:val="20"/>
                <w:szCs w:val="20"/>
              </w:rPr>
              <w:t>All Other Capital Projects</w:t>
            </w:r>
          </w:p>
        </w:tc>
        <w:tc>
          <w:tcPr>
            <w:tcW w:w="1023" w:type="dxa"/>
            <w:hideMark/>
          </w:tcPr>
          <w:p w14:paraId="7E767E4E" w14:textId="77777777" w:rsidR="007D231F" w:rsidRPr="00520B76" w:rsidRDefault="007D231F" w:rsidP="007D231F">
            <w:pPr>
              <w:jc w:val="center"/>
              <w:cnfStyle w:val="000000000000" w:firstRow="0" w:lastRow="0" w:firstColumn="0" w:lastColumn="0" w:oddVBand="0" w:evenVBand="0" w:oddHBand="0" w:evenHBand="0" w:firstRowFirstColumn="0" w:firstRowLastColumn="0" w:lastRowFirstColumn="0" w:lastRowLastColumn="0"/>
              <w:rPr>
                <w:sz w:val="20"/>
                <w:szCs w:val="20"/>
              </w:rPr>
            </w:pPr>
            <w:r w:rsidRPr="00520B76">
              <w:rPr>
                <w:sz w:val="20"/>
                <w:szCs w:val="20"/>
              </w:rPr>
              <w:t>3.7</w:t>
            </w:r>
          </w:p>
        </w:tc>
        <w:tc>
          <w:tcPr>
            <w:tcW w:w="1023" w:type="dxa"/>
            <w:hideMark/>
          </w:tcPr>
          <w:p w14:paraId="22D870B2" w14:textId="77777777" w:rsidR="007D231F" w:rsidRPr="00520B76" w:rsidRDefault="007D231F" w:rsidP="007D231F">
            <w:pPr>
              <w:jc w:val="center"/>
              <w:cnfStyle w:val="000000000000" w:firstRow="0" w:lastRow="0" w:firstColumn="0" w:lastColumn="0" w:oddVBand="0" w:evenVBand="0" w:oddHBand="0" w:evenHBand="0" w:firstRowFirstColumn="0" w:firstRowLastColumn="0" w:lastRowFirstColumn="0" w:lastRowLastColumn="0"/>
              <w:rPr>
                <w:sz w:val="20"/>
                <w:szCs w:val="20"/>
              </w:rPr>
            </w:pPr>
            <w:r w:rsidRPr="00520B76">
              <w:rPr>
                <w:sz w:val="20"/>
                <w:szCs w:val="20"/>
              </w:rPr>
              <w:t>2.3</w:t>
            </w:r>
          </w:p>
        </w:tc>
        <w:tc>
          <w:tcPr>
            <w:tcW w:w="1558" w:type="dxa"/>
            <w:hideMark/>
          </w:tcPr>
          <w:p w14:paraId="646827F7" w14:textId="77777777" w:rsidR="007D231F" w:rsidRPr="00520B76" w:rsidRDefault="007D231F" w:rsidP="007D231F">
            <w:pPr>
              <w:jc w:val="center"/>
              <w:cnfStyle w:val="000000000000" w:firstRow="0" w:lastRow="0" w:firstColumn="0" w:lastColumn="0" w:oddVBand="0" w:evenVBand="0" w:oddHBand="0" w:evenHBand="0" w:firstRowFirstColumn="0" w:firstRowLastColumn="0" w:lastRowFirstColumn="0" w:lastRowLastColumn="0"/>
              <w:rPr>
                <w:sz w:val="20"/>
                <w:szCs w:val="20"/>
              </w:rPr>
            </w:pPr>
            <w:r w:rsidRPr="00520B76">
              <w:rPr>
                <w:sz w:val="20"/>
                <w:szCs w:val="20"/>
              </w:rPr>
              <w:t>10.8</w:t>
            </w:r>
          </w:p>
        </w:tc>
        <w:tc>
          <w:tcPr>
            <w:tcW w:w="996" w:type="dxa"/>
            <w:hideMark/>
          </w:tcPr>
          <w:p w14:paraId="0AD21DA1" w14:textId="77777777" w:rsidR="007D231F" w:rsidRPr="00520B76" w:rsidRDefault="007D231F" w:rsidP="007D231F">
            <w:pPr>
              <w:jc w:val="center"/>
              <w:cnfStyle w:val="000000000000" w:firstRow="0" w:lastRow="0" w:firstColumn="0" w:lastColumn="0" w:oddVBand="0" w:evenVBand="0" w:oddHBand="0" w:evenHBand="0" w:firstRowFirstColumn="0" w:firstRowLastColumn="0" w:lastRowFirstColumn="0" w:lastRowLastColumn="0"/>
              <w:rPr>
                <w:sz w:val="20"/>
                <w:szCs w:val="20"/>
              </w:rPr>
            </w:pPr>
            <w:r w:rsidRPr="00520B76">
              <w:rPr>
                <w:sz w:val="20"/>
                <w:szCs w:val="20"/>
              </w:rPr>
              <w:t>81.1</w:t>
            </w:r>
          </w:p>
        </w:tc>
      </w:tr>
      <w:tr w:rsidR="00520B76" w:rsidRPr="00520B76" w14:paraId="1D04BEED" w14:textId="77777777" w:rsidTr="00520B76">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5324" w:type="dxa"/>
            <w:hideMark/>
          </w:tcPr>
          <w:p w14:paraId="2F494CC9" w14:textId="77777777" w:rsidR="007D231F" w:rsidRPr="00520B76" w:rsidRDefault="007D231F" w:rsidP="007D231F">
            <w:pPr>
              <w:rPr>
                <w:b w:val="0"/>
                <w:bCs w:val="0"/>
                <w:sz w:val="20"/>
                <w:szCs w:val="20"/>
              </w:rPr>
            </w:pPr>
            <w:r w:rsidRPr="00520B76">
              <w:rPr>
                <w:sz w:val="20"/>
                <w:szCs w:val="20"/>
              </w:rPr>
              <w:t>Total</w:t>
            </w:r>
          </w:p>
        </w:tc>
        <w:tc>
          <w:tcPr>
            <w:tcW w:w="1023" w:type="dxa"/>
            <w:hideMark/>
          </w:tcPr>
          <w:p w14:paraId="2A137F6E" w14:textId="77777777" w:rsidR="007D231F" w:rsidRPr="00520B76" w:rsidRDefault="007D231F" w:rsidP="007D231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520B76">
              <w:rPr>
                <w:b/>
                <w:bCs/>
                <w:sz w:val="20"/>
                <w:szCs w:val="20"/>
              </w:rPr>
              <w:t xml:space="preserve">$18.70 </w:t>
            </w:r>
          </w:p>
        </w:tc>
        <w:tc>
          <w:tcPr>
            <w:tcW w:w="1023" w:type="dxa"/>
            <w:hideMark/>
          </w:tcPr>
          <w:p w14:paraId="490C7295" w14:textId="77777777" w:rsidR="007D231F" w:rsidRPr="00520B76" w:rsidRDefault="007D231F" w:rsidP="007D231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520B76">
              <w:rPr>
                <w:b/>
                <w:bCs/>
                <w:sz w:val="20"/>
                <w:szCs w:val="20"/>
              </w:rPr>
              <w:t xml:space="preserve">$23.80 </w:t>
            </w:r>
          </w:p>
        </w:tc>
        <w:tc>
          <w:tcPr>
            <w:tcW w:w="1558" w:type="dxa"/>
            <w:hideMark/>
          </w:tcPr>
          <w:p w14:paraId="7D948CE0" w14:textId="77777777" w:rsidR="007D231F" w:rsidRPr="00520B76" w:rsidRDefault="007D231F" w:rsidP="007D231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520B76">
              <w:rPr>
                <w:b/>
                <w:bCs/>
                <w:sz w:val="20"/>
                <w:szCs w:val="20"/>
              </w:rPr>
              <w:t xml:space="preserve">$83.60 </w:t>
            </w:r>
          </w:p>
        </w:tc>
        <w:tc>
          <w:tcPr>
            <w:tcW w:w="996" w:type="dxa"/>
            <w:hideMark/>
          </w:tcPr>
          <w:p w14:paraId="46ED69E8" w14:textId="77777777" w:rsidR="007D231F" w:rsidRPr="00520B76" w:rsidRDefault="007D231F" w:rsidP="007D231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520B76">
              <w:rPr>
                <w:b/>
                <w:bCs/>
                <w:sz w:val="20"/>
                <w:szCs w:val="20"/>
              </w:rPr>
              <w:t xml:space="preserve">$204.40 </w:t>
            </w:r>
          </w:p>
        </w:tc>
      </w:tr>
    </w:tbl>
    <w:p w14:paraId="78277B93" w14:textId="77777777" w:rsidR="007D231F" w:rsidRDefault="007D231F" w:rsidP="00C253B8">
      <w:pPr>
        <w:jc w:val="center"/>
        <w:rPr>
          <w:rFonts w:ascii="Times" w:hAnsi="Times"/>
          <w:b/>
          <w:bCs/>
        </w:rPr>
      </w:pPr>
    </w:p>
    <w:p w14:paraId="01319182" w14:textId="64CF145E" w:rsidR="0013535E" w:rsidRDefault="0013535E" w:rsidP="00C253B8">
      <w:pPr>
        <w:jc w:val="center"/>
        <w:rPr>
          <w:rFonts w:ascii="Times" w:hAnsi="Times"/>
          <w:b/>
          <w:bCs/>
        </w:rPr>
      </w:pPr>
    </w:p>
    <w:p w14:paraId="774D437F" w14:textId="6A2347CF" w:rsidR="007D231F" w:rsidRDefault="007D231F" w:rsidP="00C253B8">
      <w:pPr>
        <w:jc w:val="center"/>
        <w:rPr>
          <w:rFonts w:ascii="Times" w:hAnsi="Times"/>
          <w:b/>
          <w:bCs/>
        </w:rPr>
      </w:pPr>
    </w:p>
    <w:p w14:paraId="6686C6F5" w14:textId="5B8BA162" w:rsidR="007D231F" w:rsidRDefault="007D231F" w:rsidP="00C253B8">
      <w:pPr>
        <w:jc w:val="center"/>
        <w:rPr>
          <w:rFonts w:ascii="Times" w:hAnsi="Times"/>
          <w:b/>
          <w:bCs/>
        </w:rPr>
      </w:pPr>
    </w:p>
    <w:p w14:paraId="16BB1A86" w14:textId="22F54C11" w:rsidR="007D231F" w:rsidRDefault="007D231F" w:rsidP="00C253B8">
      <w:pPr>
        <w:jc w:val="center"/>
        <w:rPr>
          <w:rFonts w:ascii="Times" w:hAnsi="Times"/>
          <w:b/>
          <w:bCs/>
        </w:rPr>
      </w:pPr>
    </w:p>
    <w:p w14:paraId="3773E34C" w14:textId="73E39A25" w:rsidR="007D231F" w:rsidRDefault="007D231F" w:rsidP="00C253B8">
      <w:pPr>
        <w:jc w:val="center"/>
        <w:rPr>
          <w:rFonts w:ascii="Times" w:hAnsi="Times"/>
          <w:b/>
          <w:bCs/>
        </w:rPr>
      </w:pPr>
    </w:p>
    <w:p w14:paraId="7D9D7ED7" w14:textId="1E17F29F" w:rsidR="007D231F" w:rsidRDefault="007D231F" w:rsidP="00C253B8">
      <w:pPr>
        <w:jc w:val="center"/>
        <w:rPr>
          <w:rFonts w:ascii="Times" w:hAnsi="Times"/>
          <w:b/>
          <w:bCs/>
        </w:rPr>
      </w:pPr>
    </w:p>
    <w:p w14:paraId="17C382A0" w14:textId="4276E4D4" w:rsidR="007D231F" w:rsidRDefault="007D231F" w:rsidP="00C253B8">
      <w:pPr>
        <w:jc w:val="center"/>
        <w:rPr>
          <w:rFonts w:ascii="Times" w:hAnsi="Times"/>
          <w:b/>
          <w:bCs/>
        </w:rPr>
      </w:pPr>
    </w:p>
    <w:p w14:paraId="66357566" w14:textId="2BE5C8D6" w:rsidR="007D231F" w:rsidRDefault="007D231F" w:rsidP="00C253B8">
      <w:pPr>
        <w:jc w:val="center"/>
        <w:rPr>
          <w:rFonts w:ascii="Times" w:hAnsi="Times"/>
          <w:b/>
          <w:bCs/>
        </w:rPr>
      </w:pPr>
    </w:p>
    <w:p w14:paraId="29567A1B" w14:textId="759738C5" w:rsidR="007D231F" w:rsidRDefault="007D231F" w:rsidP="00C253B8">
      <w:pPr>
        <w:jc w:val="center"/>
        <w:rPr>
          <w:rFonts w:ascii="Times" w:hAnsi="Times"/>
          <w:b/>
          <w:bCs/>
        </w:rPr>
      </w:pPr>
    </w:p>
    <w:p w14:paraId="4569CB09" w14:textId="069F00A6" w:rsidR="007D231F" w:rsidRDefault="007D231F" w:rsidP="00C253B8">
      <w:pPr>
        <w:jc w:val="center"/>
        <w:rPr>
          <w:rFonts w:ascii="Times" w:hAnsi="Times"/>
          <w:b/>
          <w:bCs/>
        </w:rPr>
      </w:pPr>
    </w:p>
    <w:p w14:paraId="1CE894C2" w14:textId="219F8FA6" w:rsidR="007D231F" w:rsidRDefault="007D231F" w:rsidP="00C253B8">
      <w:pPr>
        <w:jc w:val="center"/>
        <w:rPr>
          <w:rFonts w:ascii="Times" w:hAnsi="Times"/>
          <w:b/>
          <w:bCs/>
        </w:rPr>
      </w:pPr>
    </w:p>
    <w:p w14:paraId="01569D7D" w14:textId="72E47124" w:rsidR="007D231F" w:rsidRDefault="007D231F" w:rsidP="00C253B8">
      <w:pPr>
        <w:jc w:val="center"/>
        <w:rPr>
          <w:rFonts w:ascii="Times" w:hAnsi="Times"/>
          <w:b/>
          <w:bCs/>
        </w:rPr>
      </w:pPr>
    </w:p>
    <w:p w14:paraId="40D55CC7" w14:textId="5455167C" w:rsidR="007D231F" w:rsidRDefault="007D231F" w:rsidP="00C253B8">
      <w:pPr>
        <w:jc w:val="center"/>
        <w:rPr>
          <w:rFonts w:ascii="Times" w:hAnsi="Times"/>
          <w:b/>
          <w:bCs/>
        </w:rPr>
      </w:pPr>
    </w:p>
    <w:p w14:paraId="5F4C64DE" w14:textId="10C67FFA" w:rsidR="007D231F" w:rsidRDefault="007D231F" w:rsidP="00C253B8">
      <w:pPr>
        <w:jc w:val="center"/>
        <w:rPr>
          <w:rFonts w:ascii="Times" w:hAnsi="Times"/>
          <w:b/>
          <w:bCs/>
        </w:rPr>
      </w:pPr>
    </w:p>
    <w:p w14:paraId="2A285FCE" w14:textId="69F02E56" w:rsidR="007D231F" w:rsidRDefault="007D231F" w:rsidP="00C253B8">
      <w:pPr>
        <w:jc w:val="center"/>
        <w:rPr>
          <w:rFonts w:ascii="Times" w:hAnsi="Times"/>
          <w:b/>
          <w:bCs/>
        </w:rPr>
      </w:pPr>
    </w:p>
    <w:p w14:paraId="3E2E848A" w14:textId="199F802C" w:rsidR="007D231F" w:rsidRDefault="007D231F" w:rsidP="00C253B8">
      <w:pPr>
        <w:jc w:val="center"/>
        <w:rPr>
          <w:rFonts w:ascii="Times" w:hAnsi="Times"/>
          <w:b/>
          <w:bCs/>
        </w:rPr>
      </w:pPr>
    </w:p>
    <w:p w14:paraId="1704C9E4" w14:textId="2DC1E242" w:rsidR="007D231F" w:rsidRDefault="007D231F" w:rsidP="00C253B8">
      <w:pPr>
        <w:jc w:val="center"/>
        <w:rPr>
          <w:rFonts w:ascii="Times" w:hAnsi="Times"/>
          <w:b/>
          <w:bCs/>
        </w:rPr>
      </w:pPr>
    </w:p>
    <w:p w14:paraId="0211BAD3" w14:textId="7D38D0A5" w:rsidR="007D231F" w:rsidRDefault="007D231F" w:rsidP="00C253B8">
      <w:pPr>
        <w:jc w:val="center"/>
        <w:rPr>
          <w:rFonts w:ascii="Times" w:hAnsi="Times"/>
          <w:b/>
          <w:bCs/>
        </w:rPr>
      </w:pPr>
    </w:p>
    <w:p w14:paraId="07A9394A" w14:textId="0207934B" w:rsidR="007D231F" w:rsidRDefault="007D231F" w:rsidP="00C253B8">
      <w:pPr>
        <w:jc w:val="center"/>
        <w:rPr>
          <w:rFonts w:ascii="Times" w:hAnsi="Times"/>
          <w:b/>
          <w:bCs/>
        </w:rPr>
      </w:pPr>
    </w:p>
    <w:p w14:paraId="77AA5BB1" w14:textId="5D8C7F07" w:rsidR="007D231F" w:rsidRDefault="007D231F" w:rsidP="00C253B8">
      <w:pPr>
        <w:jc w:val="center"/>
        <w:rPr>
          <w:rFonts w:ascii="Times" w:hAnsi="Times"/>
          <w:b/>
          <w:bCs/>
        </w:rPr>
      </w:pPr>
    </w:p>
    <w:p w14:paraId="71F20555" w14:textId="6CC38D41" w:rsidR="007D231F" w:rsidRDefault="007D231F" w:rsidP="00C253B8">
      <w:pPr>
        <w:jc w:val="center"/>
        <w:rPr>
          <w:rFonts w:ascii="Times" w:hAnsi="Times"/>
          <w:b/>
          <w:bCs/>
        </w:rPr>
      </w:pPr>
    </w:p>
    <w:p w14:paraId="250EEEBA" w14:textId="64C5C004" w:rsidR="007D231F" w:rsidRDefault="007D231F" w:rsidP="00C253B8">
      <w:pPr>
        <w:jc w:val="center"/>
        <w:rPr>
          <w:rFonts w:ascii="Times" w:hAnsi="Times"/>
          <w:b/>
          <w:bCs/>
        </w:rPr>
      </w:pPr>
    </w:p>
    <w:p w14:paraId="11644B33" w14:textId="77777777" w:rsidR="00215B54" w:rsidRDefault="00215B54" w:rsidP="00C253B8">
      <w:pPr>
        <w:jc w:val="center"/>
        <w:rPr>
          <w:rFonts w:ascii="Times" w:hAnsi="Times"/>
          <w:b/>
          <w:bCs/>
        </w:rPr>
      </w:pPr>
    </w:p>
    <w:p w14:paraId="3009D7A7" w14:textId="04A2E9AE" w:rsidR="007D231F" w:rsidRDefault="007D231F" w:rsidP="00C253B8">
      <w:pPr>
        <w:jc w:val="center"/>
        <w:rPr>
          <w:rFonts w:ascii="Times" w:hAnsi="Times"/>
          <w:b/>
          <w:bCs/>
        </w:rPr>
      </w:pPr>
    </w:p>
    <w:p w14:paraId="78EB5AAD" w14:textId="78028DF7" w:rsidR="007D231F" w:rsidRDefault="007D231F" w:rsidP="00C253B8">
      <w:pPr>
        <w:jc w:val="center"/>
        <w:rPr>
          <w:rFonts w:ascii="Times" w:hAnsi="Times"/>
          <w:b/>
          <w:bCs/>
        </w:rPr>
      </w:pPr>
    </w:p>
    <w:p w14:paraId="150D24F5" w14:textId="344F97F5" w:rsidR="007D231F" w:rsidRDefault="007D231F" w:rsidP="00C253B8">
      <w:pPr>
        <w:jc w:val="center"/>
        <w:rPr>
          <w:rFonts w:ascii="Times" w:hAnsi="Times"/>
          <w:b/>
          <w:bCs/>
        </w:rPr>
      </w:pPr>
    </w:p>
    <w:p w14:paraId="6C855A62" w14:textId="52E94D46" w:rsidR="007D231F" w:rsidRDefault="007D231F" w:rsidP="00C253B8">
      <w:pPr>
        <w:jc w:val="center"/>
        <w:rPr>
          <w:rFonts w:ascii="Times" w:hAnsi="Times"/>
          <w:b/>
          <w:bCs/>
        </w:rPr>
      </w:pPr>
    </w:p>
    <w:p w14:paraId="5B465104" w14:textId="339EF772" w:rsidR="007D231F" w:rsidRDefault="007D231F" w:rsidP="00C253B8">
      <w:pPr>
        <w:jc w:val="center"/>
        <w:rPr>
          <w:rFonts w:ascii="Times" w:hAnsi="Times"/>
          <w:b/>
          <w:bCs/>
        </w:rPr>
      </w:pPr>
    </w:p>
    <w:p w14:paraId="7487A6F4" w14:textId="131CD6FB" w:rsidR="007D231F" w:rsidRDefault="007D231F" w:rsidP="00C253B8">
      <w:pPr>
        <w:jc w:val="center"/>
        <w:rPr>
          <w:rFonts w:ascii="Times" w:hAnsi="Times"/>
          <w:b/>
          <w:bCs/>
        </w:rPr>
      </w:pPr>
    </w:p>
    <w:p w14:paraId="547003DE" w14:textId="68514DB0" w:rsidR="007D231F" w:rsidRDefault="007D231F" w:rsidP="00C253B8">
      <w:pPr>
        <w:jc w:val="center"/>
        <w:rPr>
          <w:rFonts w:ascii="Times" w:hAnsi="Times"/>
          <w:b/>
          <w:bCs/>
        </w:rPr>
      </w:pPr>
    </w:p>
    <w:p w14:paraId="121E4450" w14:textId="2E2F6FB4" w:rsidR="007D231F" w:rsidRDefault="007D231F" w:rsidP="00C253B8">
      <w:pPr>
        <w:jc w:val="center"/>
        <w:rPr>
          <w:rFonts w:ascii="Times" w:hAnsi="Times"/>
          <w:b/>
          <w:bCs/>
        </w:rPr>
      </w:pPr>
    </w:p>
    <w:p w14:paraId="327073F9" w14:textId="65A7D3C2" w:rsidR="005262FC" w:rsidRDefault="005262FC" w:rsidP="00C253B8">
      <w:pPr>
        <w:jc w:val="center"/>
        <w:rPr>
          <w:rFonts w:ascii="Times" w:hAnsi="Times"/>
          <w:b/>
          <w:bCs/>
        </w:rPr>
      </w:pPr>
      <w:r>
        <w:rPr>
          <w:rFonts w:ascii="Times" w:hAnsi="Times"/>
          <w:b/>
          <w:bCs/>
        </w:rPr>
        <w:t>Appendix D-4:  Recharge Water Fund Budget</w:t>
      </w:r>
    </w:p>
    <w:p w14:paraId="11011C5B" w14:textId="59F82441" w:rsidR="00A02530" w:rsidRDefault="00A02530" w:rsidP="00C253B8">
      <w:pPr>
        <w:jc w:val="center"/>
        <w:rPr>
          <w:rFonts w:ascii="Times" w:hAnsi="Times"/>
          <w:b/>
          <w:bCs/>
        </w:rPr>
      </w:pPr>
    </w:p>
    <w:p w14:paraId="556C389B" w14:textId="473A2E80" w:rsidR="005262FC" w:rsidRDefault="00F329E4" w:rsidP="00A02530">
      <w:pPr>
        <w:jc w:val="center"/>
        <w:rPr>
          <w:b/>
        </w:rPr>
      </w:pPr>
      <w:r w:rsidRPr="00F329E4">
        <w:rPr>
          <w:noProof/>
        </w:rPr>
        <w:drawing>
          <wp:inline distT="0" distB="0" distL="0" distR="0" wp14:anchorId="6A21EEBF" wp14:editId="3EF9C755">
            <wp:extent cx="5943600" cy="749109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7491095"/>
                    </a:xfrm>
                    <a:prstGeom prst="rect">
                      <a:avLst/>
                    </a:prstGeom>
                    <a:noFill/>
                    <a:ln>
                      <a:noFill/>
                    </a:ln>
                  </pic:spPr>
                </pic:pic>
              </a:graphicData>
            </a:graphic>
          </wp:inline>
        </w:drawing>
      </w:r>
    </w:p>
    <w:p w14:paraId="1E16BE1E" w14:textId="2878E4F7" w:rsidR="007D231F" w:rsidRDefault="007D231F" w:rsidP="00A02530">
      <w:pPr>
        <w:jc w:val="center"/>
        <w:rPr>
          <w:b/>
        </w:rPr>
      </w:pPr>
    </w:p>
    <w:p w14:paraId="40F4B0AC" w14:textId="2C31E498" w:rsidR="007074DA" w:rsidRDefault="007074DA" w:rsidP="00A02530">
      <w:pPr>
        <w:jc w:val="center"/>
        <w:rPr>
          <w:b/>
        </w:rPr>
      </w:pPr>
    </w:p>
    <w:p w14:paraId="111B6BEB" w14:textId="77777777" w:rsidR="00215B54" w:rsidRDefault="00215B54" w:rsidP="00A02530">
      <w:pPr>
        <w:jc w:val="center"/>
        <w:rPr>
          <w:b/>
        </w:rPr>
      </w:pPr>
    </w:p>
    <w:p w14:paraId="1647B052" w14:textId="77777777" w:rsidR="00184916" w:rsidRDefault="007D231F" w:rsidP="007D231F">
      <w:pPr>
        <w:jc w:val="center"/>
        <w:rPr>
          <w:rFonts w:ascii="Times" w:hAnsi="Times"/>
          <w:b/>
          <w:bCs/>
        </w:rPr>
      </w:pPr>
      <w:r>
        <w:rPr>
          <w:rFonts w:ascii="Times" w:hAnsi="Times"/>
          <w:b/>
          <w:bCs/>
        </w:rPr>
        <w:t xml:space="preserve">Recharge Water Fund </w:t>
      </w:r>
    </w:p>
    <w:p w14:paraId="5743EEEA" w14:textId="77777777" w:rsidR="00184916" w:rsidRDefault="00184916" w:rsidP="00184916">
      <w:pPr>
        <w:jc w:val="center"/>
        <w:rPr>
          <w:b/>
        </w:rPr>
      </w:pPr>
      <w:r>
        <w:rPr>
          <w:b/>
        </w:rPr>
        <w:t>Proposed Capital Project List</w:t>
      </w:r>
    </w:p>
    <w:p w14:paraId="2B4BFC83" w14:textId="61F82E9E" w:rsidR="007D231F" w:rsidRDefault="007D231F" w:rsidP="00A02530">
      <w:pPr>
        <w:jc w:val="center"/>
        <w:rPr>
          <w:b/>
        </w:rPr>
      </w:pPr>
    </w:p>
    <w:tbl>
      <w:tblPr>
        <w:tblStyle w:val="GridTable4-Accent1"/>
        <w:tblW w:w="9129" w:type="dxa"/>
        <w:tblLook w:val="04A0" w:firstRow="1" w:lastRow="0" w:firstColumn="1" w:lastColumn="0" w:noHBand="0" w:noVBand="1"/>
      </w:tblPr>
      <w:tblGrid>
        <w:gridCol w:w="4705"/>
        <w:gridCol w:w="1057"/>
        <w:gridCol w:w="1057"/>
        <w:gridCol w:w="1416"/>
        <w:gridCol w:w="894"/>
      </w:tblGrid>
      <w:tr w:rsidR="00A522C4" w:rsidRPr="00A522C4" w14:paraId="2578F3BC" w14:textId="77777777" w:rsidTr="00A522C4">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4705" w:type="dxa"/>
            <w:vAlign w:val="center"/>
            <w:hideMark/>
          </w:tcPr>
          <w:p w14:paraId="157D7A31" w14:textId="77777777" w:rsidR="007D231F" w:rsidRPr="00A522C4" w:rsidRDefault="007D231F" w:rsidP="00A522C4">
            <w:pPr>
              <w:jc w:val="center"/>
              <w:rPr>
                <w:b w:val="0"/>
                <w:bCs w:val="0"/>
                <w:color w:val="auto"/>
                <w:sz w:val="22"/>
              </w:rPr>
            </w:pPr>
            <w:r w:rsidRPr="00A522C4">
              <w:rPr>
                <w:color w:val="auto"/>
                <w:sz w:val="22"/>
              </w:rPr>
              <w:t>Major Projects ($Millions)</w:t>
            </w:r>
          </w:p>
        </w:tc>
        <w:tc>
          <w:tcPr>
            <w:tcW w:w="1057" w:type="dxa"/>
            <w:vAlign w:val="center"/>
            <w:hideMark/>
          </w:tcPr>
          <w:p w14:paraId="09C5709D" w14:textId="77777777" w:rsidR="007D231F" w:rsidRPr="00A522C4" w:rsidRDefault="007D231F" w:rsidP="00A522C4">
            <w:pPr>
              <w:jc w:val="center"/>
              <w:cnfStyle w:val="100000000000" w:firstRow="1" w:lastRow="0" w:firstColumn="0" w:lastColumn="0" w:oddVBand="0" w:evenVBand="0" w:oddHBand="0" w:evenHBand="0" w:firstRowFirstColumn="0" w:firstRowLastColumn="0" w:lastRowFirstColumn="0" w:lastRowLastColumn="0"/>
              <w:rPr>
                <w:b w:val="0"/>
                <w:bCs w:val="0"/>
                <w:color w:val="auto"/>
                <w:sz w:val="22"/>
              </w:rPr>
            </w:pPr>
            <w:r w:rsidRPr="00A522C4">
              <w:rPr>
                <w:color w:val="auto"/>
                <w:sz w:val="22"/>
              </w:rPr>
              <w:t>FY 2019/20</w:t>
            </w:r>
          </w:p>
        </w:tc>
        <w:tc>
          <w:tcPr>
            <w:tcW w:w="1057" w:type="dxa"/>
            <w:vAlign w:val="center"/>
            <w:hideMark/>
          </w:tcPr>
          <w:p w14:paraId="767DDD19" w14:textId="77777777" w:rsidR="007D231F" w:rsidRPr="00A522C4" w:rsidRDefault="007D231F" w:rsidP="00A522C4">
            <w:pPr>
              <w:jc w:val="center"/>
              <w:cnfStyle w:val="100000000000" w:firstRow="1" w:lastRow="0" w:firstColumn="0" w:lastColumn="0" w:oddVBand="0" w:evenVBand="0" w:oddHBand="0" w:evenHBand="0" w:firstRowFirstColumn="0" w:firstRowLastColumn="0" w:lastRowFirstColumn="0" w:lastRowLastColumn="0"/>
              <w:rPr>
                <w:b w:val="0"/>
                <w:bCs w:val="0"/>
                <w:color w:val="auto"/>
                <w:sz w:val="22"/>
              </w:rPr>
            </w:pPr>
            <w:r w:rsidRPr="00A522C4">
              <w:rPr>
                <w:color w:val="auto"/>
                <w:sz w:val="22"/>
              </w:rPr>
              <w:t>FY 2020/21</w:t>
            </w:r>
          </w:p>
        </w:tc>
        <w:tc>
          <w:tcPr>
            <w:tcW w:w="1416" w:type="dxa"/>
            <w:vAlign w:val="center"/>
            <w:hideMark/>
          </w:tcPr>
          <w:p w14:paraId="6BC3E5D4" w14:textId="77777777" w:rsidR="007D231F" w:rsidRDefault="007D231F" w:rsidP="00A522C4">
            <w:pPr>
              <w:jc w:val="center"/>
              <w:cnfStyle w:val="100000000000" w:firstRow="1" w:lastRow="0" w:firstColumn="0" w:lastColumn="0" w:oddVBand="0" w:evenVBand="0" w:oddHBand="0" w:evenHBand="0" w:firstRowFirstColumn="0" w:firstRowLastColumn="0" w:lastRowFirstColumn="0" w:lastRowLastColumn="0"/>
              <w:rPr>
                <w:b w:val="0"/>
                <w:bCs w:val="0"/>
                <w:sz w:val="22"/>
              </w:rPr>
            </w:pPr>
            <w:r w:rsidRPr="00A522C4">
              <w:rPr>
                <w:color w:val="auto"/>
                <w:sz w:val="22"/>
              </w:rPr>
              <w:t>FY 2021/22 to</w:t>
            </w:r>
          </w:p>
          <w:p w14:paraId="5597EC69" w14:textId="417AFF43" w:rsidR="00A522C4" w:rsidRPr="00A522C4" w:rsidRDefault="00A522C4" w:rsidP="00A522C4">
            <w:pPr>
              <w:jc w:val="center"/>
              <w:cnfStyle w:val="100000000000" w:firstRow="1" w:lastRow="0" w:firstColumn="0" w:lastColumn="0" w:oddVBand="0" w:evenVBand="0" w:oddHBand="0" w:evenHBand="0" w:firstRowFirstColumn="0" w:firstRowLastColumn="0" w:lastRowFirstColumn="0" w:lastRowLastColumn="0"/>
              <w:rPr>
                <w:b w:val="0"/>
                <w:bCs w:val="0"/>
                <w:color w:val="auto"/>
                <w:sz w:val="22"/>
              </w:rPr>
            </w:pPr>
            <w:r>
              <w:rPr>
                <w:color w:val="auto"/>
                <w:sz w:val="22"/>
              </w:rPr>
              <w:t>FY 2023/24</w:t>
            </w:r>
          </w:p>
        </w:tc>
        <w:tc>
          <w:tcPr>
            <w:tcW w:w="894" w:type="dxa"/>
            <w:vAlign w:val="center"/>
            <w:hideMark/>
          </w:tcPr>
          <w:p w14:paraId="52A9EF05" w14:textId="77777777" w:rsidR="007D231F" w:rsidRDefault="007D231F" w:rsidP="00A522C4">
            <w:pPr>
              <w:jc w:val="center"/>
              <w:cnfStyle w:val="100000000000" w:firstRow="1" w:lastRow="0" w:firstColumn="0" w:lastColumn="0" w:oddVBand="0" w:evenVBand="0" w:oddHBand="0" w:evenHBand="0" w:firstRowFirstColumn="0" w:firstRowLastColumn="0" w:lastRowFirstColumn="0" w:lastRowLastColumn="0"/>
              <w:rPr>
                <w:b w:val="0"/>
                <w:bCs w:val="0"/>
                <w:sz w:val="22"/>
              </w:rPr>
            </w:pPr>
            <w:r w:rsidRPr="00A522C4">
              <w:rPr>
                <w:color w:val="auto"/>
                <w:sz w:val="22"/>
              </w:rPr>
              <w:t>TYCIP</w:t>
            </w:r>
          </w:p>
          <w:p w14:paraId="40555A60" w14:textId="37A531AC" w:rsidR="00A522C4" w:rsidRPr="00A522C4" w:rsidRDefault="00A522C4" w:rsidP="00A522C4">
            <w:pPr>
              <w:jc w:val="center"/>
              <w:cnfStyle w:val="100000000000" w:firstRow="1" w:lastRow="0" w:firstColumn="0" w:lastColumn="0" w:oddVBand="0" w:evenVBand="0" w:oddHBand="0" w:evenHBand="0" w:firstRowFirstColumn="0" w:firstRowLastColumn="0" w:lastRowFirstColumn="0" w:lastRowLastColumn="0"/>
              <w:rPr>
                <w:b w:val="0"/>
                <w:bCs w:val="0"/>
                <w:color w:val="auto"/>
                <w:sz w:val="22"/>
              </w:rPr>
            </w:pPr>
            <w:r>
              <w:rPr>
                <w:color w:val="auto"/>
                <w:sz w:val="22"/>
              </w:rPr>
              <w:t>Total</w:t>
            </w:r>
          </w:p>
        </w:tc>
      </w:tr>
      <w:tr w:rsidR="00A522C4" w:rsidRPr="00A522C4" w14:paraId="5491795D" w14:textId="77777777" w:rsidTr="00A522C4">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4705" w:type="dxa"/>
            <w:hideMark/>
          </w:tcPr>
          <w:p w14:paraId="0E235D24" w14:textId="77777777" w:rsidR="007D231F" w:rsidRPr="00A522C4" w:rsidRDefault="007D231F" w:rsidP="007D231F">
            <w:pPr>
              <w:rPr>
                <w:b w:val="0"/>
                <w:bCs w:val="0"/>
                <w:sz w:val="20"/>
                <w:szCs w:val="20"/>
              </w:rPr>
            </w:pPr>
            <w:r w:rsidRPr="00A522C4">
              <w:rPr>
                <w:b w:val="0"/>
                <w:sz w:val="20"/>
                <w:szCs w:val="20"/>
              </w:rPr>
              <w:t xml:space="preserve">Recharge Master Plan </w:t>
            </w:r>
          </w:p>
        </w:tc>
        <w:tc>
          <w:tcPr>
            <w:tcW w:w="1057" w:type="dxa"/>
            <w:hideMark/>
          </w:tcPr>
          <w:p w14:paraId="7DB8DBDB" w14:textId="77777777" w:rsidR="007D231F" w:rsidRPr="00A522C4" w:rsidRDefault="007D231F" w:rsidP="007D231F">
            <w:pPr>
              <w:jc w:val="center"/>
              <w:cnfStyle w:val="000000100000" w:firstRow="0" w:lastRow="0" w:firstColumn="0" w:lastColumn="0" w:oddVBand="0" w:evenVBand="0" w:oddHBand="1" w:evenHBand="0" w:firstRowFirstColumn="0" w:firstRowLastColumn="0" w:lastRowFirstColumn="0" w:lastRowLastColumn="0"/>
              <w:rPr>
                <w:sz w:val="20"/>
                <w:szCs w:val="20"/>
              </w:rPr>
            </w:pPr>
            <w:r w:rsidRPr="00A522C4">
              <w:rPr>
                <w:sz w:val="20"/>
                <w:szCs w:val="20"/>
              </w:rPr>
              <w:t xml:space="preserve">$5.00 </w:t>
            </w:r>
          </w:p>
        </w:tc>
        <w:tc>
          <w:tcPr>
            <w:tcW w:w="1057" w:type="dxa"/>
            <w:hideMark/>
          </w:tcPr>
          <w:p w14:paraId="37D76016" w14:textId="77777777" w:rsidR="007D231F" w:rsidRPr="00A522C4" w:rsidRDefault="007D231F" w:rsidP="007D231F">
            <w:pPr>
              <w:jc w:val="center"/>
              <w:cnfStyle w:val="000000100000" w:firstRow="0" w:lastRow="0" w:firstColumn="0" w:lastColumn="0" w:oddVBand="0" w:evenVBand="0" w:oddHBand="1" w:evenHBand="0" w:firstRowFirstColumn="0" w:firstRowLastColumn="0" w:lastRowFirstColumn="0" w:lastRowLastColumn="0"/>
              <w:rPr>
                <w:sz w:val="20"/>
                <w:szCs w:val="20"/>
              </w:rPr>
            </w:pPr>
            <w:r w:rsidRPr="00A522C4">
              <w:rPr>
                <w:sz w:val="20"/>
                <w:szCs w:val="20"/>
              </w:rPr>
              <w:t xml:space="preserve">$9.80 </w:t>
            </w:r>
          </w:p>
        </w:tc>
        <w:tc>
          <w:tcPr>
            <w:tcW w:w="1416" w:type="dxa"/>
            <w:hideMark/>
          </w:tcPr>
          <w:p w14:paraId="5C8E0BD3" w14:textId="77777777" w:rsidR="007D231F" w:rsidRPr="00A522C4" w:rsidRDefault="007D231F" w:rsidP="007D231F">
            <w:pPr>
              <w:jc w:val="center"/>
              <w:cnfStyle w:val="000000100000" w:firstRow="0" w:lastRow="0" w:firstColumn="0" w:lastColumn="0" w:oddVBand="0" w:evenVBand="0" w:oddHBand="1" w:evenHBand="0" w:firstRowFirstColumn="0" w:firstRowLastColumn="0" w:lastRowFirstColumn="0" w:lastRowLastColumn="0"/>
              <w:rPr>
                <w:sz w:val="20"/>
                <w:szCs w:val="20"/>
              </w:rPr>
            </w:pPr>
            <w:r w:rsidRPr="00A522C4">
              <w:rPr>
                <w:sz w:val="20"/>
                <w:szCs w:val="20"/>
              </w:rPr>
              <w:t xml:space="preserve">$0.00 </w:t>
            </w:r>
          </w:p>
        </w:tc>
        <w:tc>
          <w:tcPr>
            <w:tcW w:w="894" w:type="dxa"/>
            <w:hideMark/>
          </w:tcPr>
          <w:p w14:paraId="506883B4" w14:textId="77777777" w:rsidR="007D231F" w:rsidRPr="00A522C4" w:rsidRDefault="007D231F" w:rsidP="007D231F">
            <w:pPr>
              <w:jc w:val="center"/>
              <w:cnfStyle w:val="000000100000" w:firstRow="0" w:lastRow="0" w:firstColumn="0" w:lastColumn="0" w:oddVBand="0" w:evenVBand="0" w:oddHBand="1" w:evenHBand="0" w:firstRowFirstColumn="0" w:firstRowLastColumn="0" w:lastRowFirstColumn="0" w:lastRowLastColumn="0"/>
              <w:rPr>
                <w:sz w:val="20"/>
                <w:szCs w:val="20"/>
              </w:rPr>
            </w:pPr>
            <w:r w:rsidRPr="00A522C4">
              <w:rPr>
                <w:sz w:val="20"/>
                <w:szCs w:val="20"/>
              </w:rPr>
              <w:t xml:space="preserve">$14.80 </w:t>
            </w:r>
          </w:p>
        </w:tc>
      </w:tr>
      <w:tr w:rsidR="00A522C4" w:rsidRPr="00A522C4" w14:paraId="6AA94768" w14:textId="77777777" w:rsidTr="00A522C4">
        <w:trPr>
          <w:trHeight w:val="336"/>
        </w:trPr>
        <w:tc>
          <w:tcPr>
            <w:cnfStyle w:val="001000000000" w:firstRow="0" w:lastRow="0" w:firstColumn="1" w:lastColumn="0" w:oddVBand="0" w:evenVBand="0" w:oddHBand="0" w:evenHBand="0" w:firstRowFirstColumn="0" w:firstRowLastColumn="0" w:lastRowFirstColumn="0" w:lastRowLastColumn="0"/>
            <w:tcW w:w="4705" w:type="dxa"/>
            <w:hideMark/>
          </w:tcPr>
          <w:p w14:paraId="6BE9D0FB" w14:textId="77777777" w:rsidR="007D231F" w:rsidRPr="00A522C4" w:rsidRDefault="007D231F" w:rsidP="007D231F">
            <w:pPr>
              <w:rPr>
                <w:b w:val="0"/>
                <w:bCs w:val="0"/>
                <w:sz w:val="20"/>
                <w:szCs w:val="20"/>
              </w:rPr>
            </w:pPr>
            <w:r w:rsidRPr="00A522C4">
              <w:rPr>
                <w:b w:val="0"/>
                <w:sz w:val="20"/>
                <w:szCs w:val="20"/>
              </w:rPr>
              <w:t>All Other Capital Projects</w:t>
            </w:r>
          </w:p>
        </w:tc>
        <w:tc>
          <w:tcPr>
            <w:tcW w:w="1057" w:type="dxa"/>
            <w:hideMark/>
          </w:tcPr>
          <w:p w14:paraId="0403121E" w14:textId="77777777" w:rsidR="007D231F" w:rsidRPr="00A522C4" w:rsidRDefault="007D231F" w:rsidP="007D231F">
            <w:pPr>
              <w:jc w:val="center"/>
              <w:cnfStyle w:val="000000000000" w:firstRow="0" w:lastRow="0" w:firstColumn="0" w:lastColumn="0" w:oddVBand="0" w:evenVBand="0" w:oddHBand="0" w:evenHBand="0" w:firstRowFirstColumn="0" w:firstRowLastColumn="0" w:lastRowFirstColumn="0" w:lastRowLastColumn="0"/>
              <w:rPr>
                <w:sz w:val="20"/>
                <w:szCs w:val="20"/>
              </w:rPr>
            </w:pPr>
            <w:r w:rsidRPr="00A522C4">
              <w:rPr>
                <w:sz w:val="20"/>
                <w:szCs w:val="20"/>
              </w:rPr>
              <w:t>0</w:t>
            </w:r>
          </w:p>
        </w:tc>
        <w:tc>
          <w:tcPr>
            <w:tcW w:w="1057" w:type="dxa"/>
            <w:hideMark/>
          </w:tcPr>
          <w:p w14:paraId="04DAAFCA" w14:textId="77777777" w:rsidR="007D231F" w:rsidRPr="00A522C4" w:rsidRDefault="007D231F" w:rsidP="007D231F">
            <w:pPr>
              <w:jc w:val="center"/>
              <w:cnfStyle w:val="000000000000" w:firstRow="0" w:lastRow="0" w:firstColumn="0" w:lastColumn="0" w:oddVBand="0" w:evenVBand="0" w:oddHBand="0" w:evenHBand="0" w:firstRowFirstColumn="0" w:firstRowLastColumn="0" w:lastRowFirstColumn="0" w:lastRowLastColumn="0"/>
              <w:rPr>
                <w:sz w:val="20"/>
                <w:szCs w:val="20"/>
              </w:rPr>
            </w:pPr>
            <w:r w:rsidRPr="00A522C4">
              <w:rPr>
                <w:sz w:val="20"/>
                <w:szCs w:val="20"/>
              </w:rPr>
              <w:t>3.4</w:t>
            </w:r>
          </w:p>
        </w:tc>
        <w:tc>
          <w:tcPr>
            <w:tcW w:w="1416" w:type="dxa"/>
            <w:hideMark/>
          </w:tcPr>
          <w:p w14:paraId="54969646" w14:textId="77777777" w:rsidR="007D231F" w:rsidRPr="00A522C4" w:rsidRDefault="007D231F" w:rsidP="007D231F">
            <w:pPr>
              <w:jc w:val="center"/>
              <w:cnfStyle w:val="000000000000" w:firstRow="0" w:lastRow="0" w:firstColumn="0" w:lastColumn="0" w:oddVBand="0" w:evenVBand="0" w:oddHBand="0" w:evenHBand="0" w:firstRowFirstColumn="0" w:firstRowLastColumn="0" w:lastRowFirstColumn="0" w:lastRowLastColumn="0"/>
              <w:rPr>
                <w:sz w:val="20"/>
                <w:szCs w:val="20"/>
              </w:rPr>
            </w:pPr>
            <w:r w:rsidRPr="00A522C4">
              <w:rPr>
                <w:sz w:val="20"/>
                <w:szCs w:val="20"/>
              </w:rPr>
              <w:t>8.3</w:t>
            </w:r>
          </w:p>
        </w:tc>
        <w:tc>
          <w:tcPr>
            <w:tcW w:w="894" w:type="dxa"/>
            <w:hideMark/>
          </w:tcPr>
          <w:p w14:paraId="300FD69E" w14:textId="77777777" w:rsidR="007D231F" w:rsidRPr="00A522C4" w:rsidRDefault="007D231F" w:rsidP="007D231F">
            <w:pPr>
              <w:jc w:val="center"/>
              <w:cnfStyle w:val="000000000000" w:firstRow="0" w:lastRow="0" w:firstColumn="0" w:lastColumn="0" w:oddVBand="0" w:evenVBand="0" w:oddHBand="0" w:evenHBand="0" w:firstRowFirstColumn="0" w:firstRowLastColumn="0" w:lastRowFirstColumn="0" w:lastRowLastColumn="0"/>
              <w:rPr>
                <w:sz w:val="20"/>
                <w:szCs w:val="20"/>
              </w:rPr>
            </w:pPr>
            <w:r w:rsidRPr="00A522C4">
              <w:rPr>
                <w:sz w:val="20"/>
                <w:szCs w:val="20"/>
              </w:rPr>
              <w:t>11.7</w:t>
            </w:r>
          </w:p>
        </w:tc>
      </w:tr>
      <w:tr w:rsidR="00A522C4" w:rsidRPr="00A522C4" w14:paraId="2B457FD5" w14:textId="77777777" w:rsidTr="00A522C4">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4705" w:type="dxa"/>
            <w:hideMark/>
          </w:tcPr>
          <w:p w14:paraId="7B256314" w14:textId="77777777" w:rsidR="007D231F" w:rsidRPr="00A522C4" w:rsidRDefault="007D231F" w:rsidP="007D231F">
            <w:pPr>
              <w:rPr>
                <w:b w:val="0"/>
                <w:bCs w:val="0"/>
                <w:sz w:val="20"/>
                <w:szCs w:val="20"/>
              </w:rPr>
            </w:pPr>
            <w:r w:rsidRPr="00A522C4">
              <w:rPr>
                <w:sz w:val="20"/>
                <w:szCs w:val="20"/>
              </w:rPr>
              <w:t>Total</w:t>
            </w:r>
          </w:p>
        </w:tc>
        <w:tc>
          <w:tcPr>
            <w:tcW w:w="1057" w:type="dxa"/>
            <w:hideMark/>
          </w:tcPr>
          <w:p w14:paraId="6456F199" w14:textId="77777777" w:rsidR="007D231F" w:rsidRPr="00A522C4" w:rsidRDefault="007D231F" w:rsidP="007D231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A522C4">
              <w:rPr>
                <w:b/>
                <w:bCs/>
                <w:sz w:val="20"/>
                <w:szCs w:val="20"/>
              </w:rPr>
              <w:t xml:space="preserve">$5.00 </w:t>
            </w:r>
          </w:p>
        </w:tc>
        <w:tc>
          <w:tcPr>
            <w:tcW w:w="1057" w:type="dxa"/>
            <w:hideMark/>
          </w:tcPr>
          <w:p w14:paraId="767F53D2" w14:textId="77777777" w:rsidR="007D231F" w:rsidRPr="00A522C4" w:rsidRDefault="007D231F" w:rsidP="007D231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A522C4">
              <w:rPr>
                <w:b/>
                <w:bCs/>
                <w:sz w:val="20"/>
                <w:szCs w:val="20"/>
              </w:rPr>
              <w:t xml:space="preserve">$13.23 </w:t>
            </w:r>
          </w:p>
        </w:tc>
        <w:tc>
          <w:tcPr>
            <w:tcW w:w="1416" w:type="dxa"/>
            <w:hideMark/>
          </w:tcPr>
          <w:p w14:paraId="0DBF85F2" w14:textId="77777777" w:rsidR="007D231F" w:rsidRPr="00A522C4" w:rsidRDefault="007D231F" w:rsidP="007D231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A522C4">
              <w:rPr>
                <w:b/>
                <w:bCs/>
                <w:sz w:val="20"/>
                <w:szCs w:val="20"/>
              </w:rPr>
              <w:t xml:space="preserve">$8.30 </w:t>
            </w:r>
          </w:p>
        </w:tc>
        <w:tc>
          <w:tcPr>
            <w:tcW w:w="894" w:type="dxa"/>
            <w:hideMark/>
          </w:tcPr>
          <w:p w14:paraId="078242B3" w14:textId="77777777" w:rsidR="007D231F" w:rsidRPr="00A522C4" w:rsidRDefault="007D231F" w:rsidP="007D231F">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A522C4">
              <w:rPr>
                <w:b/>
                <w:bCs/>
                <w:sz w:val="20"/>
                <w:szCs w:val="20"/>
              </w:rPr>
              <w:t xml:space="preserve">$26.50 </w:t>
            </w:r>
          </w:p>
        </w:tc>
      </w:tr>
    </w:tbl>
    <w:p w14:paraId="092146D5" w14:textId="77777777" w:rsidR="007D231F" w:rsidRDefault="007D231F" w:rsidP="00A02530">
      <w:pPr>
        <w:jc w:val="center"/>
        <w:rPr>
          <w:b/>
        </w:rPr>
      </w:pPr>
    </w:p>
    <w:p w14:paraId="12A0B208" w14:textId="4CEF879D" w:rsidR="005262FC" w:rsidRDefault="005262FC" w:rsidP="00A02530">
      <w:pPr>
        <w:jc w:val="center"/>
        <w:rPr>
          <w:b/>
        </w:rPr>
      </w:pPr>
    </w:p>
    <w:p w14:paraId="1C327551" w14:textId="099F50C4" w:rsidR="005262FC" w:rsidRDefault="005262FC" w:rsidP="00A02530">
      <w:pPr>
        <w:jc w:val="center"/>
        <w:rPr>
          <w:b/>
        </w:rPr>
      </w:pPr>
    </w:p>
    <w:p w14:paraId="3FEA1D5C" w14:textId="13752811" w:rsidR="007D231F" w:rsidRDefault="007D231F" w:rsidP="00A02530">
      <w:pPr>
        <w:jc w:val="center"/>
        <w:rPr>
          <w:b/>
        </w:rPr>
      </w:pPr>
    </w:p>
    <w:p w14:paraId="108EDF42" w14:textId="54179A9A" w:rsidR="007D231F" w:rsidRDefault="007D231F" w:rsidP="00A02530">
      <w:pPr>
        <w:jc w:val="center"/>
        <w:rPr>
          <w:b/>
        </w:rPr>
      </w:pPr>
    </w:p>
    <w:p w14:paraId="2892E58E" w14:textId="267D49BC" w:rsidR="007D231F" w:rsidRDefault="007D231F" w:rsidP="00A02530">
      <w:pPr>
        <w:jc w:val="center"/>
        <w:rPr>
          <w:b/>
        </w:rPr>
      </w:pPr>
    </w:p>
    <w:p w14:paraId="2F828046" w14:textId="3C7FC224" w:rsidR="007D231F" w:rsidRDefault="007D231F" w:rsidP="00A02530">
      <w:pPr>
        <w:jc w:val="center"/>
        <w:rPr>
          <w:b/>
        </w:rPr>
      </w:pPr>
    </w:p>
    <w:p w14:paraId="0C47A836" w14:textId="340CDDE2" w:rsidR="007D231F" w:rsidRDefault="007D231F" w:rsidP="00A02530">
      <w:pPr>
        <w:jc w:val="center"/>
        <w:rPr>
          <w:b/>
        </w:rPr>
      </w:pPr>
    </w:p>
    <w:p w14:paraId="6CA8FEC4" w14:textId="2A4292FA" w:rsidR="007D231F" w:rsidRDefault="007D231F" w:rsidP="00A02530">
      <w:pPr>
        <w:jc w:val="center"/>
        <w:rPr>
          <w:b/>
        </w:rPr>
      </w:pPr>
    </w:p>
    <w:p w14:paraId="570D3857" w14:textId="3137524D" w:rsidR="007D231F" w:rsidRDefault="007D231F" w:rsidP="00A02530">
      <w:pPr>
        <w:jc w:val="center"/>
        <w:rPr>
          <w:b/>
        </w:rPr>
      </w:pPr>
    </w:p>
    <w:p w14:paraId="325D0EA5" w14:textId="37078C09" w:rsidR="007D231F" w:rsidRDefault="007D231F" w:rsidP="00A02530">
      <w:pPr>
        <w:jc w:val="center"/>
        <w:rPr>
          <w:b/>
        </w:rPr>
      </w:pPr>
    </w:p>
    <w:p w14:paraId="379402AC" w14:textId="44374C50" w:rsidR="007D231F" w:rsidRDefault="007D231F" w:rsidP="00A02530">
      <w:pPr>
        <w:jc w:val="center"/>
        <w:rPr>
          <w:b/>
        </w:rPr>
      </w:pPr>
    </w:p>
    <w:p w14:paraId="18776C03" w14:textId="3877657D" w:rsidR="007D231F" w:rsidRDefault="007D231F" w:rsidP="00A02530">
      <w:pPr>
        <w:jc w:val="center"/>
        <w:rPr>
          <w:b/>
        </w:rPr>
      </w:pPr>
    </w:p>
    <w:p w14:paraId="577D414E" w14:textId="7B3F1F74" w:rsidR="007D231F" w:rsidRDefault="007D231F" w:rsidP="00A02530">
      <w:pPr>
        <w:jc w:val="center"/>
        <w:rPr>
          <w:b/>
        </w:rPr>
      </w:pPr>
    </w:p>
    <w:p w14:paraId="3FA6A857" w14:textId="7794ED8A" w:rsidR="007D231F" w:rsidRDefault="007D231F" w:rsidP="00A02530">
      <w:pPr>
        <w:jc w:val="center"/>
        <w:rPr>
          <w:b/>
        </w:rPr>
      </w:pPr>
    </w:p>
    <w:p w14:paraId="2769C277" w14:textId="1F562879" w:rsidR="007D231F" w:rsidRDefault="007D231F" w:rsidP="00A02530">
      <w:pPr>
        <w:jc w:val="center"/>
        <w:rPr>
          <w:b/>
        </w:rPr>
      </w:pPr>
    </w:p>
    <w:p w14:paraId="475B6A3F" w14:textId="1907C6E2" w:rsidR="007D231F" w:rsidRDefault="007D231F" w:rsidP="00A02530">
      <w:pPr>
        <w:jc w:val="center"/>
        <w:rPr>
          <w:b/>
        </w:rPr>
      </w:pPr>
    </w:p>
    <w:p w14:paraId="5A659754" w14:textId="066B5972" w:rsidR="007D231F" w:rsidRDefault="007D231F" w:rsidP="00A02530">
      <w:pPr>
        <w:jc w:val="center"/>
        <w:rPr>
          <w:b/>
        </w:rPr>
      </w:pPr>
    </w:p>
    <w:p w14:paraId="5F531B6A" w14:textId="124FA9C5" w:rsidR="007D231F" w:rsidRDefault="007D231F" w:rsidP="00A02530">
      <w:pPr>
        <w:jc w:val="center"/>
        <w:rPr>
          <w:b/>
        </w:rPr>
      </w:pPr>
    </w:p>
    <w:p w14:paraId="1530B280" w14:textId="083C9A5E" w:rsidR="007D231F" w:rsidRDefault="007D231F" w:rsidP="00A02530">
      <w:pPr>
        <w:jc w:val="center"/>
        <w:rPr>
          <w:b/>
        </w:rPr>
      </w:pPr>
    </w:p>
    <w:p w14:paraId="17FAAEAA" w14:textId="070B712D" w:rsidR="007D231F" w:rsidRDefault="007D231F" w:rsidP="00A02530">
      <w:pPr>
        <w:jc w:val="center"/>
        <w:rPr>
          <w:b/>
        </w:rPr>
      </w:pPr>
    </w:p>
    <w:p w14:paraId="5D016E6A" w14:textId="1AF5B2A6" w:rsidR="007D231F" w:rsidRDefault="007D231F" w:rsidP="00A02530">
      <w:pPr>
        <w:jc w:val="center"/>
        <w:rPr>
          <w:b/>
        </w:rPr>
      </w:pPr>
    </w:p>
    <w:p w14:paraId="5ED3517C" w14:textId="6BE9F150" w:rsidR="007D231F" w:rsidRDefault="007D231F" w:rsidP="00A02530">
      <w:pPr>
        <w:jc w:val="center"/>
        <w:rPr>
          <w:b/>
        </w:rPr>
      </w:pPr>
    </w:p>
    <w:p w14:paraId="08DB8027" w14:textId="67D015D5" w:rsidR="007D231F" w:rsidRDefault="007D231F" w:rsidP="00A02530">
      <w:pPr>
        <w:jc w:val="center"/>
        <w:rPr>
          <w:b/>
        </w:rPr>
      </w:pPr>
    </w:p>
    <w:p w14:paraId="34E27907" w14:textId="6F49C38D" w:rsidR="007D231F" w:rsidRDefault="007D231F" w:rsidP="00A02530">
      <w:pPr>
        <w:jc w:val="center"/>
        <w:rPr>
          <w:b/>
        </w:rPr>
      </w:pPr>
    </w:p>
    <w:p w14:paraId="7BDFF965" w14:textId="5A6F9D96" w:rsidR="007D231F" w:rsidRDefault="007D231F" w:rsidP="00A02530">
      <w:pPr>
        <w:jc w:val="center"/>
        <w:rPr>
          <w:b/>
        </w:rPr>
      </w:pPr>
    </w:p>
    <w:p w14:paraId="06FD741D" w14:textId="445C303C" w:rsidR="007D231F" w:rsidRDefault="007D231F" w:rsidP="00A02530">
      <w:pPr>
        <w:jc w:val="center"/>
        <w:rPr>
          <w:b/>
        </w:rPr>
      </w:pPr>
    </w:p>
    <w:p w14:paraId="1FB35460" w14:textId="3DB8B3E7" w:rsidR="007D231F" w:rsidRDefault="007D231F" w:rsidP="00A02530">
      <w:pPr>
        <w:jc w:val="center"/>
        <w:rPr>
          <w:b/>
        </w:rPr>
      </w:pPr>
    </w:p>
    <w:p w14:paraId="71DA7444" w14:textId="64AB3C41" w:rsidR="007D231F" w:rsidRDefault="007D231F" w:rsidP="00A02530">
      <w:pPr>
        <w:jc w:val="center"/>
        <w:rPr>
          <w:b/>
        </w:rPr>
      </w:pPr>
    </w:p>
    <w:p w14:paraId="183364A7" w14:textId="06A928BF" w:rsidR="007D231F" w:rsidRDefault="007D231F" w:rsidP="00A02530">
      <w:pPr>
        <w:jc w:val="center"/>
        <w:rPr>
          <w:b/>
        </w:rPr>
      </w:pPr>
    </w:p>
    <w:p w14:paraId="228CE534" w14:textId="1241D01D" w:rsidR="007D231F" w:rsidRDefault="007D231F" w:rsidP="00A02530">
      <w:pPr>
        <w:jc w:val="center"/>
        <w:rPr>
          <w:b/>
        </w:rPr>
      </w:pPr>
    </w:p>
    <w:p w14:paraId="01D9A24F" w14:textId="153465E7" w:rsidR="007D231F" w:rsidRDefault="007D231F" w:rsidP="00A02530">
      <w:pPr>
        <w:jc w:val="center"/>
        <w:rPr>
          <w:b/>
        </w:rPr>
      </w:pPr>
    </w:p>
    <w:p w14:paraId="1636010D" w14:textId="30D307B2" w:rsidR="007D231F" w:rsidRDefault="007D231F" w:rsidP="00A02530">
      <w:pPr>
        <w:jc w:val="center"/>
        <w:rPr>
          <w:b/>
        </w:rPr>
      </w:pPr>
    </w:p>
    <w:p w14:paraId="2ADB0571" w14:textId="2F6C885C" w:rsidR="007D231F" w:rsidRDefault="007D231F" w:rsidP="00A02530">
      <w:pPr>
        <w:jc w:val="center"/>
        <w:rPr>
          <w:b/>
        </w:rPr>
      </w:pPr>
    </w:p>
    <w:p w14:paraId="71B7EFC2" w14:textId="3875EA7A" w:rsidR="007D231F" w:rsidRDefault="007D231F" w:rsidP="00A02530">
      <w:pPr>
        <w:jc w:val="center"/>
        <w:rPr>
          <w:b/>
        </w:rPr>
      </w:pPr>
    </w:p>
    <w:p w14:paraId="1EB10DAF" w14:textId="0966B15E" w:rsidR="007D231F" w:rsidRDefault="007D231F" w:rsidP="00A02530">
      <w:pPr>
        <w:jc w:val="center"/>
        <w:rPr>
          <w:b/>
        </w:rPr>
      </w:pPr>
    </w:p>
    <w:p w14:paraId="43AF1EDE" w14:textId="303FFB93" w:rsidR="007D231F" w:rsidRDefault="007D231F" w:rsidP="00A02530">
      <w:pPr>
        <w:jc w:val="center"/>
        <w:rPr>
          <w:b/>
        </w:rPr>
      </w:pPr>
    </w:p>
    <w:p w14:paraId="21A2F079" w14:textId="77777777" w:rsidR="007D231F" w:rsidRDefault="007D231F" w:rsidP="00A02530">
      <w:pPr>
        <w:jc w:val="center"/>
        <w:rPr>
          <w:b/>
        </w:rPr>
      </w:pPr>
    </w:p>
    <w:p w14:paraId="1E0F8112" w14:textId="4DF1D368" w:rsidR="005262FC" w:rsidRDefault="0013535E" w:rsidP="00A02530">
      <w:pPr>
        <w:jc w:val="center"/>
        <w:rPr>
          <w:b/>
        </w:rPr>
      </w:pPr>
      <w:r>
        <w:rPr>
          <w:b/>
        </w:rPr>
        <w:t>Appendix D-5:  Water Resources Fund Budget</w:t>
      </w:r>
    </w:p>
    <w:p w14:paraId="0FD39D6F" w14:textId="3CE9CE9E" w:rsidR="005262FC" w:rsidRDefault="005262FC" w:rsidP="00A02530">
      <w:pPr>
        <w:jc w:val="center"/>
        <w:rPr>
          <w:b/>
        </w:rPr>
      </w:pPr>
    </w:p>
    <w:p w14:paraId="4305EF89" w14:textId="58540307" w:rsidR="005262FC" w:rsidRDefault="00FA691F" w:rsidP="00A02530">
      <w:pPr>
        <w:jc w:val="center"/>
        <w:rPr>
          <w:b/>
        </w:rPr>
      </w:pPr>
      <w:r w:rsidRPr="00FA691F">
        <w:rPr>
          <w:noProof/>
        </w:rPr>
        <w:drawing>
          <wp:inline distT="0" distB="0" distL="0" distR="0" wp14:anchorId="3620AE8F" wp14:editId="5620EC16">
            <wp:extent cx="5868670" cy="6628689"/>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84129" cy="6646149"/>
                    </a:xfrm>
                    <a:prstGeom prst="rect">
                      <a:avLst/>
                    </a:prstGeom>
                    <a:noFill/>
                    <a:ln>
                      <a:noFill/>
                    </a:ln>
                  </pic:spPr>
                </pic:pic>
              </a:graphicData>
            </a:graphic>
          </wp:inline>
        </w:drawing>
      </w:r>
    </w:p>
    <w:p w14:paraId="39CF387D" w14:textId="77777777" w:rsidR="005262FC" w:rsidRDefault="005262FC" w:rsidP="00A02530">
      <w:pPr>
        <w:jc w:val="center"/>
        <w:rPr>
          <w:b/>
        </w:rPr>
      </w:pPr>
    </w:p>
    <w:p w14:paraId="49F86D1E" w14:textId="77777777" w:rsidR="005262FC" w:rsidRDefault="005262FC" w:rsidP="00A02530">
      <w:pPr>
        <w:jc w:val="center"/>
        <w:rPr>
          <w:b/>
        </w:rPr>
      </w:pPr>
    </w:p>
    <w:p w14:paraId="52493A20" w14:textId="77777777" w:rsidR="005262FC" w:rsidRDefault="005262FC" w:rsidP="00A02530">
      <w:pPr>
        <w:jc w:val="center"/>
        <w:rPr>
          <w:b/>
        </w:rPr>
      </w:pPr>
    </w:p>
    <w:p w14:paraId="02054E82" w14:textId="576F6155" w:rsidR="005262FC" w:rsidRDefault="005262FC" w:rsidP="00A02530">
      <w:pPr>
        <w:jc w:val="center"/>
        <w:rPr>
          <w:b/>
        </w:rPr>
      </w:pPr>
    </w:p>
    <w:p w14:paraId="66F5EF84" w14:textId="77777777" w:rsidR="00A522C4" w:rsidRDefault="00A522C4" w:rsidP="00A02530">
      <w:pPr>
        <w:jc w:val="center"/>
        <w:rPr>
          <w:b/>
        </w:rPr>
      </w:pPr>
    </w:p>
    <w:p w14:paraId="1D7211FE" w14:textId="77777777" w:rsidR="00215B54" w:rsidRDefault="00215B54" w:rsidP="00A02530">
      <w:pPr>
        <w:jc w:val="center"/>
        <w:rPr>
          <w:b/>
        </w:rPr>
      </w:pPr>
    </w:p>
    <w:p w14:paraId="0F52D02A" w14:textId="77088FB5" w:rsidR="00D023F5" w:rsidRDefault="00D023F5" w:rsidP="00A02530">
      <w:pPr>
        <w:jc w:val="center"/>
        <w:rPr>
          <w:b/>
        </w:rPr>
      </w:pPr>
    </w:p>
    <w:p w14:paraId="3CC03553" w14:textId="77777777" w:rsidR="0081568E" w:rsidRDefault="0081568E" w:rsidP="00A02530">
      <w:pPr>
        <w:jc w:val="center"/>
        <w:rPr>
          <w:b/>
        </w:rPr>
      </w:pPr>
    </w:p>
    <w:p w14:paraId="2378E264" w14:textId="2B60D460" w:rsidR="00184916" w:rsidRDefault="00184916" w:rsidP="00A02530">
      <w:pPr>
        <w:jc w:val="center"/>
        <w:rPr>
          <w:b/>
        </w:rPr>
      </w:pPr>
      <w:r>
        <w:rPr>
          <w:b/>
        </w:rPr>
        <w:t xml:space="preserve">Water Resources Fund </w:t>
      </w:r>
    </w:p>
    <w:p w14:paraId="6F91E154" w14:textId="77777777" w:rsidR="00184916" w:rsidRDefault="00184916" w:rsidP="00184916">
      <w:pPr>
        <w:jc w:val="center"/>
        <w:rPr>
          <w:b/>
        </w:rPr>
      </w:pPr>
      <w:r>
        <w:rPr>
          <w:b/>
        </w:rPr>
        <w:t>Proposed Capital Project List</w:t>
      </w:r>
    </w:p>
    <w:p w14:paraId="336A9823" w14:textId="1B5B3A87" w:rsidR="00184916" w:rsidRDefault="00184916" w:rsidP="00A02530">
      <w:pPr>
        <w:jc w:val="center"/>
        <w:rPr>
          <w:b/>
        </w:rPr>
      </w:pPr>
    </w:p>
    <w:tbl>
      <w:tblPr>
        <w:tblStyle w:val="GridTable4-Accent1"/>
        <w:tblW w:w="9280" w:type="dxa"/>
        <w:tblLook w:val="04A0" w:firstRow="1" w:lastRow="0" w:firstColumn="1" w:lastColumn="0" w:noHBand="0" w:noVBand="1"/>
      </w:tblPr>
      <w:tblGrid>
        <w:gridCol w:w="4881"/>
        <w:gridCol w:w="1057"/>
        <w:gridCol w:w="1057"/>
        <w:gridCol w:w="1450"/>
        <w:gridCol w:w="835"/>
      </w:tblGrid>
      <w:tr w:rsidR="00A522C4" w:rsidRPr="00A522C4" w14:paraId="17317DFE" w14:textId="77777777" w:rsidTr="00A522C4">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881" w:type="dxa"/>
            <w:vAlign w:val="center"/>
            <w:hideMark/>
          </w:tcPr>
          <w:p w14:paraId="527ADB75" w14:textId="77777777" w:rsidR="00184916" w:rsidRPr="00A522C4" w:rsidRDefault="00184916" w:rsidP="00A522C4">
            <w:pPr>
              <w:jc w:val="center"/>
              <w:rPr>
                <w:b w:val="0"/>
                <w:bCs w:val="0"/>
                <w:color w:val="auto"/>
                <w:sz w:val="22"/>
              </w:rPr>
            </w:pPr>
            <w:r w:rsidRPr="00A522C4">
              <w:rPr>
                <w:color w:val="auto"/>
                <w:sz w:val="22"/>
              </w:rPr>
              <w:t>Major Projects ($Millions)</w:t>
            </w:r>
          </w:p>
        </w:tc>
        <w:tc>
          <w:tcPr>
            <w:tcW w:w="1057" w:type="dxa"/>
            <w:vAlign w:val="center"/>
            <w:hideMark/>
          </w:tcPr>
          <w:p w14:paraId="4E41E714" w14:textId="77777777" w:rsidR="00184916" w:rsidRPr="00A522C4" w:rsidRDefault="00184916" w:rsidP="00A522C4">
            <w:pPr>
              <w:jc w:val="center"/>
              <w:cnfStyle w:val="100000000000" w:firstRow="1" w:lastRow="0" w:firstColumn="0" w:lastColumn="0" w:oddVBand="0" w:evenVBand="0" w:oddHBand="0" w:evenHBand="0" w:firstRowFirstColumn="0" w:firstRowLastColumn="0" w:lastRowFirstColumn="0" w:lastRowLastColumn="0"/>
              <w:rPr>
                <w:b w:val="0"/>
                <w:bCs w:val="0"/>
                <w:color w:val="auto"/>
                <w:sz w:val="22"/>
              </w:rPr>
            </w:pPr>
            <w:r w:rsidRPr="00A522C4">
              <w:rPr>
                <w:color w:val="auto"/>
                <w:sz w:val="22"/>
              </w:rPr>
              <w:t>FY 2019/20</w:t>
            </w:r>
          </w:p>
        </w:tc>
        <w:tc>
          <w:tcPr>
            <w:tcW w:w="1057" w:type="dxa"/>
            <w:vAlign w:val="center"/>
            <w:hideMark/>
          </w:tcPr>
          <w:p w14:paraId="514AC05C" w14:textId="77777777" w:rsidR="00184916" w:rsidRPr="00A522C4" w:rsidRDefault="00184916" w:rsidP="00A522C4">
            <w:pPr>
              <w:jc w:val="center"/>
              <w:cnfStyle w:val="100000000000" w:firstRow="1" w:lastRow="0" w:firstColumn="0" w:lastColumn="0" w:oddVBand="0" w:evenVBand="0" w:oddHBand="0" w:evenHBand="0" w:firstRowFirstColumn="0" w:firstRowLastColumn="0" w:lastRowFirstColumn="0" w:lastRowLastColumn="0"/>
              <w:rPr>
                <w:b w:val="0"/>
                <w:bCs w:val="0"/>
                <w:color w:val="auto"/>
                <w:sz w:val="22"/>
              </w:rPr>
            </w:pPr>
            <w:r w:rsidRPr="00A522C4">
              <w:rPr>
                <w:color w:val="auto"/>
                <w:sz w:val="22"/>
              </w:rPr>
              <w:t>FY 2020/21</w:t>
            </w:r>
          </w:p>
        </w:tc>
        <w:tc>
          <w:tcPr>
            <w:tcW w:w="1450" w:type="dxa"/>
            <w:vAlign w:val="center"/>
            <w:hideMark/>
          </w:tcPr>
          <w:p w14:paraId="2C90039D" w14:textId="77777777" w:rsidR="00184916" w:rsidRDefault="00184916" w:rsidP="00A522C4">
            <w:pPr>
              <w:jc w:val="center"/>
              <w:cnfStyle w:val="100000000000" w:firstRow="1" w:lastRow="0" w:firstColumn="0" w:lastColumn="0" w:oddVBand="0" w:evenVBand="0" w:oddHBand="0" w:evenHBand="0" w:firstRowFirstColumn="0" w:firstRowLastColumn="0" w:lastRowFirstColumn="0" w:lastRowLastColumn="0"/>
              <w:rPr>
                <w:b w:val="0"/>
                <w:bCs w:val="0"/>
                <w:sz w:val="22"/>
              </w:rPr>
            </w:pPr>
            <w:r w:rsidRPr="00A522C4">
              <w:rPr>
                <w:color w:val="auto"/>
                <w:sz w:val="22"/>
              </w:rPr>
              <w:t>FY 2021/22 to</w:t>
            </w:r>
          </w:p>
          <w:p w14:paraId="3BC257F3" w14:textId="6FC1B392" w:rsidR="00A522C4" w:rsidRPr="00A522C4" w:rsidRDefault="00A522C4" w:rsidP="00A522C4">
            <w:pPr>
              <w:jc w:val="center"/>
              <w:cnfStyle w:val="100000000000" w:firstRow="1" w:lastRow="0" w:firstColumn="0" w:lastColumn="0" w:oddVBand="0" w:evenVBand="0" w:oddHBand="0" w:evenHBand="0" w:firstRowFirstColumn="0" w:firstRowLastColumn="0" w:lastRowFirstColumn="0" w:lastRowLastColumn="0"/>
              <w:rPr>
                <w:b w:val="0"/>
                <w:bCs w:val="0"/>
                <w:color w:val="auto"/>
                <w:sz w:val="22"/>
              </w:rPr>
            </w:pPr>
            <w:r>
              <w:rPr>
                <w:color w:val="auto"/>
                <w:sz w:val="22"/>
              </w:rPr>
              <w:t>FY 2023/24</w:t>
            </w:r>
          </w:p>
        </w:tc>
        <w:tc>
          <w:tcPr>
            <w:tcW w:w="835" w:type="dxa"/>
            <w:vAlign w:val="center"/>
            <w:hideMark/>
          </w:tcPr>
          <w:p w14:paraId="6E5F2722" w14:textId="77777777" w:rsidR="00184916" w:rsidRDefault="00184916" w:rsidP="00A522C4">
            <w:pPr>
              <w:jc w:val="center"/>
              <w:cnfStyle w:val="100000000000" w:firstRow="1" w:lastRow="0" w:firstColumn="0" w:lastColumn="0" w:oddVBand="0" w:evenVBand="0" w:oddHBand="0" w:evenHBand="0" w:firstRowFirstColumn="0" w:firstRowLastColumn="0" w:lastRowFirstColumn="0" w:lastRowLastColumn="0"/>
              <w:rPr>
                <w:b w:val="0"/>
                <w:bCs w:val="0"/>
                <w:sz w:val="22"/>
              </w:rPr>
            </w:pPr>
            <w:r w:rsidRPr="00A522C4">
              <w:rPr>
                <w:color w:val="auto"/>
                <w:sz w:val="22"/>
              </w:rPr>
              <w:t>TYCIP</w:t>
            </w:r>
          </w:p>
          <w:p w14:paraId="29B4C68B" w14:textId="4D7FDA23" w:rsidR="00A522C4" w:rsidRPr="00A522C4" w:rsidRDefault="00A522C4" w:rsidP="00A522C4">
            <w:pPr>
              <w:jc w:val="center"/>
              <w:cnfStyle w:val="100000000000" w:firstRow="1" w:lastRow="0" w:firstColumn="0" w:lastColumn="0" w:oddVBand="0" w:evenVBand="0" w:oddHBand="0" w:evenHBand="0" w:firstRowFirstColumn="0" w:firstRowLastColumn="0" w:lastRowFirstColumn="0" w:lastRowLastColumn="0"/>
              <w:rPr>
                <w:b w:val="0"/>
                <w:bCs w:val="0"/>
                <w:color w:val="auto"/>
                <w:sz w:val="22"/>
              </w:rPr>
            </w:pPr>
            <w:r>
              <w:rPr>
                <w:color w:val="auto"/>
                <w:sz w:val="22"/>
              </w:rPr>
              <w:t>Total</w:t>
            </w:r>
          </w:p>
        </w:tc>
      </w:tr>
      <w:tr w:rsidR="00A522C4" w:rsidRPr="00A522C4" w14:paraId="24394145" w14:textId="77777777" w:rsidTr="00A522C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881" w:type="dxa"/>
            <w:hideMark/>
          </w:tcPr>
          <w:p w14:paraId="4173F89B" w14:textId="77777777" w:rsidR="00184916" w:rsidRPr="00A522C4" w:rsidRDefault="00184916" w:rsidP="00184916">
            <w:pPr>
              <w:rPr>
                <w:b w:val="0"/>
                <w:bCs w:val="0"/>
                <w:sz w:val="20"/>
                <w:szCs w:val="20"/>
              </w:rPr>
            </w:pPr>
            <w:r w:rsidRPr="00A522C4">
              <w:rPr>
                <w:b w:val="0"/>
                <w:sz w:val="20"/>
                <w:szCs w:val="20"/>
              </w:rPr>
              <w:t>Chino Basin Program Planning</w:t>
            </w:r>
          </w:p>
        </w:tc>
        <w:tc>
          <w:tcPr>
            <w:tcW w:w="1057" w:type="dxa"/>
            <w:hideMark/>
          </w:tcPr>
          <w:p w14:paraId="19151A64" w14:textId="77777777" w:rsidR="00184916" w:rsidRPr="00A522C4" w:rsidRDefault="00184916" w:rsidP="00184916">
            <w:pPr>
              <w:jc w:val="center"/>
              <w:cnfStyle w:val="000000100000" w:firstRow="0" w:lastRow="0" w:firstColumn="0" w:lastColumn="0" w:oddVBand="0" w:evenVBand="0" w:oddHBand="1" w:evenHBand="0" w:firstRowFirstColumn="0" w:firstRowLastColumn="0" w:lastRowFirstColumn="0" w:lastRowLastColumn="0"/>
              <w:rPr>
                <w:sz w:val="20"/>
                <w:szCs w:val="20"/>
              </w:rPr>
            </w:pPr>
            <w:r w:rsidRPr="00A522C4">
              <w:rPr>
                <w:sz w:val="20"/>
                <w:szCs w:val="20"/>
              </w:rPr>
              <w:t xml:space="preserve">$6.60 </w:t>
            </w:r>
          </w:p>
        </w:tc>
        <w:tc>
          <w:tcPr>
            <w:tcW w:w="1057" w:type="dxa"/>
            <w:hideMark/>
          </w:tcPr>
          <w:p w14:paraId="59A23E20" w14:textId="77777777" w:rsidR="00184916" w:rsidRPr="00A522C4" w:rsidRDefault="00184916" w:rsidP="00184916">
            <w:pPr>
              <w:jc w:val="center"/>
              <w:cnfStyle w:val="000000100000" w:firstRow="0" w:lastRow="0" w:firstColumn="0" w:lastColumn="0" w:oddVBand="0" w:evenVBand="0" w:oddHBand="1" w:evenHBand="0" w:firstRowFirstColumn="0" w:firstRowLastColumn="0" w:lastRowFirstColumn="0" w:lastRowLastColumn="0"/>
              <w:rPr>
                <w:sz w:val="20"/>
                <w:szCs w:val="20"/>
              </w:rPr>
            </w:pPr>
            <w:r w:rsidRPr="00A522C4">
              <w:rPr>
                <w:sz w:val="20"/>
                <w:szCs w:val="20"/>
              </w:rPr>
              <w:t xml:space="preserve">$2.60 </w:t>
            </w:r>
          </w:p>
        </w:tc>
        <w:tc>
          <w:tcPr>
            <w:tcW w:w="1450" w:type="dxa"/>
            <w:hideMark/>
          </w:tcPr>
          <w:p w14:paraId="40363C9F" w14:textId="77777777" w:rsidR="00184916" w:rsidRPr="00A522C4" w:rsidRDefault="00184916" w:rsidP="00184916">
            <w:pPr>
              <w:jc w:val="center"/>
              <w:cnfStyle w:val="000000100000" w:firstRow="0" w:lastRow="0" w:firstColumn="0" w:lastColumn="0" w:oddVBand="0" w:evenVBand="0" w:oddHBand="1" w:evenHBand="0" w:firstRowFirstColumn="0" w:firstRowLastColumn="0" w:lastRowFirstColumn="0" w:lastRowLastColumn="0"/>
              <w:rPr>
                <w:sz w:val="20"/>
                <w:szCs w:val="20"/>
              </w:rPr>
            </w:pPr>
            <w:r w:rsidRPr="00A522C4">
              <w:rPr>
                <w:sz w:val="20"/>
                <w:szCs w:val="20"/>
              </w:rPr>
              <w:t xml:space="preserve">$2.60 </w:t>
            </w:r>
          </w:p>
        </w:tc>
        <w:tc>
          <w:tcPr>
            <w:tcW w:w="835" w:type="dxa"/>
            <w:hideMark/>
          </w:tcPr>
          <w:p w14:paraId="7BC08849" w14:textId="77777777" w:rsidR="00184916" w:rsidRPr="00A522C4" w:rsidRDefault="00184916" w:rsidP="00184916">
            <w:pPr>
              <w:jc w:val="center"/>
              <w:cnfStyle w:val="000000100000" w:firstRow="0" w:lastRow="0" w:firstColumn="0" w:lastColumn="0" w:oddVBand="0" w:evenVBand="0" w:oddHBand="1" w:evenHBand="0" w:firstRowFirstColumn="0" w:firstRowLastColumn="0" w:lastRowFirstColumn="0" w:lastRowLastColumn="0"/>
              <w:rPr>
                <w:sz w:val="20"/>
                <w:szCs w:val="20"/>
              </w:rPr>
            </w:pPr>
            <w:r w:rsidRPr="00A522C4">
              <w:rPr>
                <w:sz w:val="20"/>
                <w:szCs w:val="20"/>
              </w:rPr>
              <w:t xml:space="preserve">$11.70 </w:t>
            </w:r>
          </w:p>
        </w:tc>
      </w:tr>
      <w:tr w:rsidR="00A522C4" w:rsidRPr="00A522C4" w14:paraId="660D97DA" w14:textId="77777777" w:rsidTr="00A522C4">
        <w:trPr>
          <w:trHeight w:val="290"/>
        </w:trPr>
        <w:tc>
          <w:tcPr>
            <w:cnfStyle w:val="001000000000" w:firstRow="0" w:lastRow="0" w:firstColumn="1" w:lastColumn="0" w:oddVBand="0" w:evenVBand="0" w:oddHBand="0" w:evenHBand="0" w:firstRowFirstColumn="0" w:firstRowLastColumn="0" w:lastRowFirstColumn="0" w:lastRowLastColumn="0"/>
            <w:tcW w:w="4881" w:type="dxa"/>
            <w:hideMark/>
          </w:tcPr>
          <w:p w14:paraId="4389CB82" w14:textId="77777777" w:rsidR="00184916" w:rsidRPr="00A522C4" w:rsidRDefault="00184916" w:rsidP="00184916">
            <w:pPr>
              <w:rPr>
                <w:b w:val="0"/>
                <w:bCs w:val="0"/>
                <w:sz w:val="20"/>
                <w:szCs w:val="20"/>
              </w:rPr>
            </w:pPr>
            <w:r w:rsidRPr="00A522C4">
              <w:rPr>
                <w:b w:val="0"/>
                <w:sz w:val="20"/>
                <w:szCs w:val="20"/>
              </w:rPr>
              <w:t>All Other Capital Projects</w:t>
            </w:r>
          </w:p>
        </w:tc>
        <w:tc>
          <w:tcPr>
            <w:tcW w:w="1057" w:type="dxa"/>
            <w:hideMark/>
          </w:tcPr>
          <w:p w14:paraId="18511318" w14:textId="77777777" w:rsidR="00184916" w:rsidRPr="00A522C4" w:rsidRDefault="00184916" w:rsidP="0018491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522C4">
              <w:rPr>
                <w:sz w:val="20"/>
                <w:szCs w:val="20"/>
              </w:rPr>
              <w:t>0</w:t>
            </w:r>
          </w:p>
        </w:tc>
        <w:tc>
          <w:tcPr>
            <w:tcW w:w="1057" w:type="dxa"/>
            <w:hideMark/>
          </w:tcPr>
          <w:p w14:paraId="79564387" w14:textId="77777777" w:rsidR="00184916" w:rsidRPr="00A522C4" w:rsidRDefault="00184916" w:rsidP="0018491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522C4">
              <w:rPr>
                <w:sz w:val="20"/>
                <w:szCs w:val="20"/>
              </w:rPr>
              <w:t>1.0</w:t>
            </w:r>
          </w:p>
        </w:tc>
        <w:tc>
          <w:tcPr>
            <w:tcW w:w="1450" w:type="dxa"/>
            <w:hideMark/>
          </w:tcPr>
          <w:p w14:paraId="7D697AA4" w14:textId="77777777" w:rsidR="00184916" w:rsidRPr="00A522C4" w:rsidRDefault="00184916" w:rsidP="0018491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522C4">
              <w:rPr>
                <w:sz w:val="20"/>
                <w:szCs w:val="20"/>
              </w:rPr>
              <w:t>12.0</w:t>
            </w:r>
          </w:p>
        </w:tc>
        <w:tc>
          <w:tcPr>
            <w:tcW w:w="835" w:type="dxa"/>
            <w:hideMark/>
          </w:tcPr>
          <w:p w14:paraId="5292D54C" w14:textId="77777777" w:rsidR="00184916" w:rsidRPr="00A522C4" w:rsidRDefault="00184916" w:rsidP="0018491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522C4">
              <w:rPr>
                <w:sz w:val="20"/>
                <w:szCs w:val="20"/>
              </w:rPr>
              <w:t>13.0</w:t>
            </w:r>
          </w:p>
        </w:tc>
      </w:tr>
      <w:tr w:rsidR="00A522C4" w:rsidRPr="00A522C4" w14:paraId="5A81E408" w14:textId="77777777" w:rsidTr="00A522C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881" w:type="dxa"/>
            <w:hideMark/>
          </w:tcPr>
          <w:p w14:paraId="32877ED5" w14:textId="77777777" w:rsidR="00184916" w:rsidRPr="00A522C4" w:rsidRDefault="00184916" w:rsidP="00184916">
            <w:pPr>
              <w:rPr>
                <w:b w:val="0"/>
                <w:bCs w:val="0"/>
                <w:sz w:val="20"/>
                <w:szCs w:val="20"/>
              </w:rPr>
            </w:pPr>
            <w:r w:rsidRPr="00A522C4">
              <w:rPr>
                <w:sz w:val="20"/>
                <w:szCs w:val="20"/>
              </w:rPr>
              <w:t>Total</w:t>
            </w:r>
          </w:p>
        </w:tc>
        <w:tc>
          <w:tcPr>
            <w:tcW w:w="1057" w:type="dxa"/>
            <w:hideMark/>
          </w:tcPr>
          <w:p w14:paraId="131975CB" w14:textId="77777777" w:rsidR="00184916" w:rsidRPr="00A522C4" w:rsidRDefault="00184916" w:rsidP="00184916">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A522C4">
              <w:rPr>
                <w:b/>
                <w:bCs/>
                <w:sz w:val="20"/>
                <w:szCs w:val="20"/>
              </w:rPr>
              <w:t xml:space="preserve">$6.60 </w:t>
            </w:r>
          </w:p>
        </w:tc>
        <w:tc>
          <w:tcPr>
            <w:tcW w:w="1057" w:type="dxa"/>
            <w:hideMark/>
          </w:tcPr>
          <w:p w14:paraId="52C89A01" w14:textId="77777777" w:rsidR="00184916" w:rsidRPr="00A522C4" w:rsidRDefault="00184916" w:rsidP="00184916">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A522C4">
              <w:rPr>
                <w:b/>
                <w:bCs/>
                <w:sz w:val="20"/>
                <w:szCs w:val="20"/>
              </w:rPr>
              <w:t xml:space="preserve">$3.60 </w:t>
            </w:r>
          </w:p>
        </w:tc>
        <w:tc>
          <w:tcPr>
            <w:tcW w:w="1450" w:type="dxa"/>
            <w:hideMark/>
          </w:tcPr>
          <w:p w14:paraId="74C8E71C" w14:textId="77777777" w:rsidR="00184916" w:rsidRPr="00A522C4" w:rsidRDefault="00184916" w:rsidP="00184916">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A522C4">
              <w:rPr>
                <w:b/>
                <w:bCs/>
                <w:sz w:val="20"/>
                <w:szCs w:val="20"/>
              </w:rPr>
              <w:t xml:space="preserve">$14.60 </w:t>
            </w:r>
          </w:p>
        </w:tc>
        <w:tc>
          <w:tcPr>
            <w:tcW w:w="835" w:type="dxa"/>
            <w:hideMark/>
          </w:tcPr>
          <w:p w14:paraId="5A5719B4" w14:textId="77777777" w:rsidR="00184916" w:rsidRPr="00A522C4" w:rsidRDefault="00184916" w:rsidP="00184916">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A522C4">
              <w:rPr>
                <w:b/>
                <w:bCs/>
                <w:sz w:val="20"/>
                <w:szCs w:val="20"/>
              </w:rPr>
              <w:t xml:space="preserve">$24.70 </w:t>
            </w:r>
          </w:p>
        </w:tc>
      </w:tr>
    </w:tbl>
    <w:p w14:paraId="15E10F48" w14:textId="77777777" w:rsidR="00184916" w:rsidRDefault="00184916" w:rsidP="00A02530">
      <w:pPr>
        <w:jc w:val="center"/>
        <w:rPr>
          <w:b/>
        </w:rPr>
      </w:pPr>
    </w:p>
    <w:p w14:paraId="6EB4C757" w14:textId="68CBF4B7" w:rsidR="005262FC" w:rsidRDefault="005262FC" w:rsidP="00A02530">
      <w:pPr>
        <w:jc w:val="center"/>
        <w:rPr>
          <w:b/>
        </w:rPr>
      </w:pPr>
    </w:p>
    <w:p w14:paraId="73780943" w14:textId="5F08480C" w:rsidR="00184916" w:rsidRDefault="00184916" w:rsidP="00A02530">
      <w:pPr>
        <w:jc w:val="center"/>
        <w:rPr>
          <w:b/>
        </w:rPr>
      </w:pPr>
    </w:p>
    <w:p w14:paraId="5BC0E62D" w14:textId="124B22D1" w:rsidR="00184916" w:rsidRDefault="00184916" w:rsidP="00A02530">
      <w:pPr>
        <w:jc w:val="center"/>
        <w:rPr>
          <w:b/>
        </w:rPr>
      </w:pPr>
    </w:p>
    <w:p w14:paraId="678376ED" w14:textId="39765B7B" w:rsidR="00184916" w:rsidRDefault="00184916" w:rsidP="00A02530">
      <w:pPr>
        <w:jc w:val="center"/>
        <w:rPr>
          <w:b/>
        </w:rPr>
      </w:pPr>
    </w:p>
    <w:p w14:paraId="0CA0616B" w14:textId="7FC5F047" w:rsidR="00184916" w:rsidRDefault="00184916" w:rsidP="00A02530">
      <w:pPr>
        <w:jc w:val="center"/>
        <w:rPr>
          <w:b/>
        </w:rPr>
      </w:pPr>
    </w:p>
    <w:p w14:paraId="679FCCA6" w14:textId="787AFC0E" w:rsidR="00184916" w:rsidRDefault="00184916" w:rsidP="00A02530">
      <w:pPr>
        <w:jc w:val="center"/>
        <w:rPr>
          <w:b/>
        </w:rPr>
      </w:pPr>
    </w:p>
    <w:p w14:paraId="212499AD" w14:textId="14284D9A" w:rsidR="00184916" w:rsidRDefault="00184916" w:rsidP="00A02530">
      <w:pPr>
        <w:jc w:val="center"/>
        <w:rPr>
          <w:b/>
        </w:rPr>
      </w:pPr>
    </w:p>
    <w:p w14:paraId="6935D8EC" w14:textId="51CFB69E" w:rsidR="00184916" w:rsidRDefault="00184916" w:rsidP="00A02530">
      <w:pPr>
        <w:jc w:val="center"/>
        <w:rPr>
          <w:b/>
        </w:rPr>
      </w:pPr>
    </w:p>
    <w:p w14:paraId="289D9FEB" w14:textId="420CD004" w:rsidR="00184916" w:rsidRDefault="00184916" w:rsidP="00A02530">
      <w:pPr>
        <w:jc w:val="center"/>
        <w:rPr>
          <w:b/>
        </w:rPr>
      </w:pPr>
    </w:p>
    <w:p w14:paraId="0094F489" w14:textId="6D75DF65" w:rsidR="00184916" w:rsidRDefault="00184916" w:rsidP="00A02530">
      <w:pPr>
        <w:jc w:val="center"/>
        <w:rPr>
          <w:b/>
        </w:rPr>
      </w:pPr>
    </w:p>
    <w:p w14:paraId="5E08054D" w14:textId="74C037A8" w:rsidR="00184916" w:rsidRDefault="00184916" w:rsidP="00A02530">
      <w:pPr>
        <w:jc w:val="center"/>
        <w:rPr>
          <w:b/>
        </w:rPr>
      </w:pPr>
    </w:p>
    <w:p w14:paraId="0D241C53" w14:textId="3D5F4C08" w:rsidR="00184916" w:rsidRDefault="00184916" w:rsidP="00A02530">
      <w:pPr>
        <w:jc w:val="center"/>
        <w:rPr>
          <w:b/>
        </w:rPr>
      </w:pPr>
    </w:p>
    <w:p w14:paraId="0BF4AB5F" w14:textId="445F1488" w:rsidR="00184916" w:rsidRDefault="00184916" w:rsidP="00A02530">
      <w:pPr>
        <w:jc w:val="center"/>
        <w:rPr>
          <w:b/>
        </w:rPr>
      </w:pPr>
    </w:p>
    <w:p w14:paraId="0EA38804" w14:textId="32A5B66E" w:rsidR="00184916" w:rsidRDefault="00184916" w:rsidP="00A02530">
      <w:pPr>
        <w:jc w:val="center"/>
        <w:rPr>
          <w:b/>
        </w:rPr>
      </w:pPr>
    </w:p>
    <w:p w14:paraId="1A545D8D" w14:textId="3195978E" w:rsidR="00184916" w:rsidRDefault="00184916" w:rsidP="00A02530">
      <w:pPr>
        <w:jc w:val="center"/>
        <w:rPr>
          <w:b/>
        </w:rPr>
      </w:pPr>
    </w:p>
    <w:p w14:paraId="52E3F84E" w14:textId="0EB99A63" w:rsidR="00184916" w:rsidRDefault="00184916" w:rsidP="00A02530">
      <w:pPr>
        <w:jc w:val="center"/>
        <w:rPr>
          <w:b/>
        </w:rPr>
      </w:pPr>
    </w:p>
    <w:p w14:paraId="01647779" w14:textId="06481695" w:rsidR="00184916" w:rsidRDefault="00184916" w:rsidP="00A02530">
      <w:pPr>
        <w:jc w:val="center"/>
        <w:rPr>
          <w:b/>
        </w:rPr>
      </w:pPr>
    </w:p>
    <w:p w14:paraId="1696F965" w14:textId="38EA5D8F" w:rsidR="00184916" w:rsidRDefault="00184916" w:rsidP="00A02530">
      <w:pPr>
        <w:jc w:val="center"/>
        <w:rPr>
          <w:b/>
        </w:rPr>
      </w:pPr>
    </w:p>
    <w:p w14:paraId="1214048F" w14:textId="24FFA430" w:rsidR="00184916" w:rsidRDefault="00184916" w:rsidP="00A02530">
      <w:pPr>
        <w:jc w:val="center"/>
        <w:rPr>
          <w:b/>
        </w:rPr>
      </w:pPr>
    </w:p>
    <w:p w14:paraId="7E4A8ECA" w14:textId="0D54D4EC" w:rsidR="00184916" w:rsidRDefault="00184916" w:rsidP="00A02530">
      <w:pPr>
        <w:jc w:val="center"/>
        <w:rPr>
          <w:b/>
        </w:rPr>
      </w:pPr>
    </w:p>
    <w:p w14:paraId="0A7906D4" w14:textId="6007A31E" w:rsidR="00184916" w:rsidRDefault="00184916" w:rsidP="00A02530">
      <w:pPr>
        <w:jc w:val="center"/>
        <w:rPr>
          <w:b/>
        </w:rPr>
      </w:pPr>
    </w:p>
    <w:p w14:paraId="2009A744" w14:textId="2D62AEBA" w:rsidR="00184916" w:rsidRDefault="00184916" w:rsidP="00A02530">
      <w:pPr>
        <w:jc w:val="center"/>
        <w:rPr>
          <w:b/>
        </w:rPr>
      </w:pPr>
    </w:p>
    <w:p w14:paraId="3DD5D2F0" w14:textId="4F0A11F6" w:rsidR="00184916" w:rsidRDefault="00184916" w:rsidP="00A02530">
      <w:pPr>
        <w:jc w:val="center"/>
        <w:rPr>
          <w:b/>
        </w:rPr>
      </w:pPr>
    </w:p>
    <w:p w14:paraId="505FDCDD" w14:textId="08A8E39A" w:rsidR="00184916" w:rsidRDefault="00184916" w:rsidP="00A02530">
      <w:pPr>
        <w:jc w:val="center"/>
        <w:rPr>
          <w:b/>
        </w:rPr>
      </w:pPr>
    </w:p>
    <w:p w14:paraId="52305234" w14:textId="22CE64C4" w:rsidR="00184916" w:rsidRDefault="00184916" w:rsidP="00A02530">
      <w:pPr>
        <w:jc w:val="center"/>
        <w:rPr>
          <w:b/>
        </w:rPr>
      </w:pPr>
    </w:p>
    <w:p w14:paraId="62FC7ECE" w14:textId="0B99893E" w:rsidR="00184916" w:rsidRDefault="00184916" w:rsidP="00A02530">
      <w:pPr>
        <w:jc w:val="center"/>
        <w:rPr>
          <w:b/>
        </w:rPr>
      </w:pPr>
    </w:p>
    <w:p w14:paraId="1C32D249" w14:textId="64BA0E4A" w:rsidR="00184916" w:rsidRDefault="00184916" w:rsidP="00A02530">
      <w:pPr>
        <w:jc w:val="center"/>
        <w:rPr>
          <w:b/>
        </w:rPr>
      </w:pPr>
    </w:p>
    <w:p w14:paraId="50C30992" w14:textId="6552F3F6" w:rsidR="00184916" w:rsidRDefault="00184916" w:rsidP="00A02530">
      <w:pPr>
        <w:jc w:val="center"/>
        <w:rPr>
          <w:b/>
        </w:rPr>
      </w:pPr>
    </w:p>
    <w:p w14:paraId="3A6620F9" w14:textId="7B0BCCEA" w:rsidR="00184916" w:rsidRDefault="00184916" w:rsidP="00A02530">
      <w:pPr>
        <w:jc w:val="center"/>
        <w:rPr>
          <w:b/>
        </w:rPr>
      </w:pPr>
    </w:p>
    <w:p w14:paraId="0EC132C2" w14:textId="24C4F8CC" w:rsidR="00184916" w:rsidRDefault="00184916" w:rsidP="00A02530">
      <w:pPr>
        <w:jc w:val="center"/>
        <w:rPr>
          <w:b/>
        </w:rPr>
      </w:pPr>
    </w:p>
    <w:p w14:paraId="3389660E" w14:textId="391CE68D" w:rsidR="00184916" w:rsidRDefault="00184916" w:rsidP="00A02530">
      <w:pPr>
        <w:jc w:val="center"/>
        <w:rPr>
          <w:b/>
        </w:rPr>
      </w:pPr>
    </w:p>
    <w:p w14:paraId="24C5834B" w14:textId="484AA671" w:rsidR="00184916" w:rsidRDefault="00184916" w:rsidP="00A02530">
      <w:pPr>
        <w:jc w:val="center"/>
        <w:rPr>
          <w:b/>
        </w:rPr>
      </w:pPr>
    </w:p>
    <w:p w14:paraId="72E020DA" w14:textId="1B59494D" w:rsidR="00184916" w:rsidRDefault="00184916" w:rsidP="00A02530">
      <w:pPr>
        <w:jc w:val="center"/>
        <w:rPr>
          <w:b/>
        </w:rPr>
      </w:pPr>
    </w:p>
    <w:p w14:paraId="4B5DDD6C" w14:textId="6B0458E4" w:rsidR="00184916" w:rsidRDefault="00184916" w:rsidP="00A02530">
      <w:pPr>
        <w:jc w:val="center"/>
        <w:rPr>
          <w:b/>
        </w:rPr>
      </w:pPr>
    </w:p>
    <w:p w14:paraId="20D308CF" w14:textId="5B05A8EA" w:rsidR="00184916" w:rsidRDefault="00184916" w:rsidP="00A02530">
      <w:pPr>
        <w:jc w:val="center"/>
        <w:rPr>
          <w:b/>
        </w:rPr>
      </w:pPr>
    </w:p>
    <w:p w14:paraId="032E104C" w14:textId="1933EDAE" w:rsidR="00184916" w:rsidRDefault="00184916" w:rsidP="00A02530">
      <w:pPr>
        <w:jc w:val="center"/>
        <w:rPr>
          <w:b/>
        </w:rPr>
      </w:pPr>
    </w:p>
    <w:p w14:paraId="7831FD48" w14:textId="30CEB888" w:rsidR="00184916" w:rsidRDefault="00184916" w:rsidP="00A02530">
      <w:pPr>
        <w:jc w:val="center"/>
        <w:rPr>
          <w:b/>
        </w:rPr>
      </w:pPr>
    </w:p>
    <w:p w14:paraId="1647FD64" w14:textId="6A7CCCC9" w:rsidR="00A02530" w:rsidRDefault="00A02530" w:rsidP="00A02530">
      <w:pPr>
        <w:jc w:val="center"/>
        <w:rPr>
          <w:b/>
        </w:rPr>
      </w:pPr>
      <w:r w:rsidRPr="00A24752">
        <w:rPr>
          <w:b/>
        </w:rPr>
        <w:t xml:space="preserve">Appendix </w:t>
      </w:r>
      <w:r>
        <w:rPr>
          <w:b/>
        </w:rPr>
        <w:t>D</w:t>
      </w:r>
      <w:r w:rsidRPr="00A24752">
        <w:rPr>
          <w:b/>
        </w:rPr>
        <w:t>-</w:t>
      </w:r>
      <w:r>
        <w:rPr>
          <w:b/>
        </w:rPr>
        <w:t>6</w:t>
      </w:r>
      <w:r w:rsidR="0013535E">
        <w:rPr>
          <w:b/>
        </w:rPr>
        <w:t>:  Non-Reclaimable Wastewater Fund Budget</w:t>
      </w:r>
    </w:p>
    <w:p w14:paraId="3650AD52" w14:textId="5015F55C" w:rsidR="00A02530" w:rsidRDefault="00A02530" w:rsidP="00A02530">
      <w:pPr>
        <w:jc w:val="center"/>
        <w:rPr>
          <w:b/>
        </w:rPr>
      </w:pPr>
    </w:p>
    <w:p w14:paraId="012AFB9B" w14:textId="26A2FAA8" w:rsidR="00A02530" w:rsidRDefault="0013535E" w:rsidP="00C253B8">
      <w:pPr>
        <w:jc w:val="center"/>
        <w:rPr>
          <w:rFonts w:ascii="Times" w:hAnsi="Times"/>
          <w:b/>
          <w:bCs/>
        </w:rPr>
      </w:pPr>
      <w:r w:rsidRPr="0013535E">
        <w:rPr>
          <w:noProof/>
        </w:rPr>
        <w:drawing>
          <wp:inline distT="0" distB="0" distL="0" distR="0" wp14:anchorId="790707CD" wp14:editId="7BB134B7">
            <wp:extent cx="5943600" cy="710184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7101840"/>
                    </a:xfrm>
                    <a:prstGeom prst="rect">
                      <a:avLst/>
                    </a:prstGeom>
                    <a:noFill/>
                    <a:ln>
                      <a:noFill/>
                    </a:ln>
                  </pic:spPr>
                </pic:pic>
              </a:graphicData>
            </a:graphic>
          </wp:inline>
        </w:drawing>
      </w:r>
    </w:p>
    <w:p w14:paraId="3120D54E" w14:textId="53A3D6CB" w:rsidR="0013535E" w:rsidRDefault="0013535E" w:rsidP="00C253B8">
      <w:pPr>
        <w:jc w:val="center"/>
        <w:rPr>
          <w:rFonts w:ascii="Times" w:hAnsi="Times"/>
          <w:b/>
          <w:bCs/>
        </w:rPr>
      </w:pPr>
    </w:p>
    <w:p w14:paraId="4F741232" w14:textId="3C290428" w:rsidR="0013535E" w:rsidRDefault="0013535E" w:rsidP="00C253B8">
      <w:pPr>
        <w:jc w:val="center"/>
        <w:rPr>
          <w:rFonts w:ascii="Times" w:hAnsi="Times"/>
          <w:b/>
          <w:bCs/>
        </w:rPr>
      </w:pPr>
    </w:p>
    <w:p w14:paraId="0C9145EE" w14:textId="77777777" w:rsidR="00215B54" w:rsidRDefault="00215B54" w:rsidP="00C253B8">
      <w:pPr>
        <w:jc w:val="center"/>
        <w:rPr>
          <w:rFonts w:ascii="Times" w:hAnsi="Times"/>
          <w:b/>
          <w:bCs/>
        </w:rPr>
      </w:pPr>
    </w:p>
    <w:p w14:paraId="41B67E30" w14:textId="4F8F236D" w:rsidR="0013535E" w:rsidRDefault="0013535E" w:rsidP="00C253B8">
      <w:pPr>
        <w:jc w:val="center"/>
        <w:rPr>
          <w:rFonts w:ascii="Times" w:hAnsi="Times"/>
          <w:b/>
          <w:bCs/>
        </w:rPr>
      </w:pPr>
    </w:p>
    <w:p w14:paraId="5A48982D" w14:textId="77777777" w:rsidR="0081568E" w:rsidRDefault="0081568E" w:rsidP="00C253B8">
      <w:pPr>
        <w:jc w:val="center"/>
        <w:rPr>
          <w:b/>
        </w:rPr>
      </w:pPr>
    </w:p>
    <w:p w14:paraId="72137C4A" w14:textId="34CA91D0" w:rsidR="00184916" w:rsidRDefault="00184916" w:rsidP="00C253B8">
      <w:pPr>
        <w:jc w:val="center"/>
        <w:rPr>
          <w:b/>
        </w:rPr>
      </w:pPr>
      <w:r>
        <w:rPr>
          <w:b/>
        </w:rPr>
        <w:t xml:space="preserve">Non-Reclaimable Wastewater Fund </w:t>
      </w:r>
    </w:p>
    <w:p w14:paraId="70941BBD" w14:textId="77777777" w:rsidR="00184916" w:rsidRDefault="00184916" w:rsidP="00184916">
      <w:pPr>
        <w:jc w:val="center"/>
        <w:rPr>
          <w:b/>
        </w:rPr>
      </w:pPr>
      <w:r>
        <w:rPr>
          <w:b/>
        </w:rPr>
        <w:t>Proposed Capital Project List</w:t>
      </w:r>
    </w:p>
    <w:p w14:paraId="6C1BA9F2" w14:textId="7C5394A8" w:rsidR="00184916" w:rsidRDefault="00184916" w:rsidP="00C253B8">
      <w:pPr>
        <w:jc w:val="center"/>
        <w:rPr>
          <w:b/>
        </w:rPr>
      </w:pPr>
    </w:p>
    <w:tbl>
      <w:tblPr>
        <w:tblStyle w:val="GridTable4-Accent1"/>
        <w:tblW w:w="9303" w:type="dxa"/>
        <w:tblLook w:val="04A0" w:firstRow="1" w:lastRow="0" w:firstColumn="1" w:lastColumn="0" w:noHBand="0" w:noVBand="1"/>
      </w:tblPr>
      <w:tblGrid>
        <w:gridCol w:w="4900"/>
        <w:gridCol w:w="1057"/>
        <w:gridCol w:w="1057"/>
        <w:gridCol w:w="1452"/>
        <w:gridCol w:w="837"/>
      </w:tblGrid>
      <w:tr w:rsidR="00A522C4" w:rsidRPr="00A522C4" w14:paraId="250A4CC1" w14:textId="77777777" w:rsidTr="00A522C4">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4900" w:type="dxa"/>
            <w:vAlign w:val="center"/>
            <w:hideMark/>
          </w:tcPr>
          <w:p w14:paraId="104C1413" w14:textId="77777777" w:rsidR="00184916" w:rsidRPr="00A522C4" w:rsidRDefault="00184916" w:rsidP="00A522C4">
            <w:pPr>
              <w:jc w:val="center"/>
              <w:rPr>
                <w:b w:val="0"/>
                <w:bCs w:val="0"/>
                <w:color w:val="auto"/>
                <w:sz w:val="22"/>
              </w:rPr>
            </w:pPr>
            <w:r w:rsidRPr="00A522C4">
              <w:rPr>
                <w:color w:val="auto"/>
                <w:sz w:val="22"/>
              </w:rPr>
              <w:t>Major Projects ($Millions)</w:t>
            </w:r>
          </w:p>
        </w:tc>
        <w:tc>
          <w:tcPr>
            <w:tcW w:w="1057" w:type="dxa"/>
            <w:vAlign w:val="center"/>
            <w:hideMark/>
          </w:tcPr>
          <w:p w14:paraId="51AAD9E5" w14:textId="77777777" w:rsidR="00184916" w:rsidRPr="00A522C4" w:rsidRDefault="00184916" w:rsidP="00A522C4">
            <w:pPr>
              <w:jc w:val="center"/>
              <w:cnfStyle w:val="100000000000" w:firstRow="1" w:lastRow="0" w:firstColumn="0" w:lastColumn="0" w:oddVBand="0" w:evenVBand="0" w:oddHBand="0" w:evenHBand="0" w:firstRowFirstColumn="0" w:firstRowLastColumn="0" w:lastRowFirstColumn="0" w:lastRowLastColumn="0"/>
              <w:rPr>
                <w:b w:val="0"/>
                <w:bCs w:val="0"/>
                <w:color w:val="auto"/>
                <w:sz w:val="22"/>
              </w:rPr>
            </w:pPr>
            <w:r w:rsidRPr="00A522C4">
              <w:rPr>
                <w:color w:val="auto"/>
                <w:sz w:val="22"/>
              </w:rPr>
              <w:t>FY 2019/20</w:t>
            </w:r>
          </w:p>
        </w:tc>
        <w:tc>
          <w:tcPr>
            <w:tcW w:w="1057" w:type="dxa"/>
            <w:vAlign w:val="center"/>
            <w:hideMark/>
          </w:tcPr>
          <w:p w14:paraId="2275FA7D" w14:textId="77777777" w:rsidR="00184916" w:rsidRPr="00A522C4" w:rsidRDefault="00184916" w:rsidP="00A522C4">
            <w:pPr>
              <w:jc w:val="center"/>
              <w:cnfStyle w:val="100000000000" w:firstRow="1" w:lastRow="0" w:firstColumn="0" w:lastColumn="0" w:oddVBand="0" w:evenVBand="0" w:oddHBand="0" w:evenHBand="0" w:firstRowFirstColumn="0" w:firstRowLastColumn="0" w:lastRowFirstColumn="0" w:lastRowLastColumn="0"/>
              <w:rPr>
                <w:b w:val="0"/>
                <w:bCs w:val="0"/>
                <w:color w:val="auto"/>
                <w:sz w:val="22"/>
              </w:rPr>
            </w:pPr>
            <w:r w:rsidRPr="00A522C4">
              <w:rPr>
                <w:color w:val="auto"/>
                <w:sz w:val="22"/>
              </w:rPr>
              <w:t>FY 2020/21</w:t>
            </w:r>
          </w:p>
        </w:tc>
        <w:tc>
          <w:tcPr>
            <w:tcW w:w="1452" w:type="dxa"/>
            <w:vAlign w:val="center"/>
            <w:hideMark/>
          </w:tcPr>
          <w:p w14:paraId="23174E26" w14:textId="77777777" w:rsidR="00184916" w:rsidRPr="00A522C4" w:rsidRDefault="00184916" w:rsidP="00A522C4">
            <w:pPr>
              <w:jc w:val="center"/>
              <w:cnfStyle w:val="100000000000" w:firstRow="1" w:lastRow="0" w:firstColumn="0" w:lastColumn="0" w:oddVBand="0" w:evenVBand="0" w:oddHBand="0" w:evenHBand="0" w:firstRowFirstColumn="0" w:firstRowLastColumn="0" w:lastRowFirstColumn="0" w:lastRowLastColumn="0"/>
              <w:rPr>
                <w:b w:val="0"/>
                <w:bCs w:val="0"/>
                <w:color w:val="auto"/>
                <w:sz w:val="22"/>
              </w:rPr>
            </w:pPr>
            <w:r w:rsidRPr="00A522C4">
              <w:rPr>
                <w:color w:val="auto"/>
                <w:sz w:val="22"/>
              </w:rPr>
              <w:t>FY 2021/22 to FY 2023/24</w:t>
            </w:r>
          </w:p>
        </w:tc>
        <w:tc>
          <w:tcPr>
            <w:tcW w:w="837" w:type="dxa"/>
            <w:vAlign w:val="center"/>
            <w:hideMark/>
          </w:tcPr>
          <w:p w14:paraId="43892C29" w14:textId="77777777" w:rsidR="00184916" w:rsidRDefault="00184916" w:rsidP="00A522C4">
            <w:pPr>
              <w:jc w:val="center"/>
              <w:cnfStyle w:val="100000000000" w:firstRow="1" w:lastRow="0" w:firstColumn="0" w:lastColumn="0" w:oddVBand="0" w:evenVBand="0" w:oddHBand="0" w:evenHBand="0" w:firstRowFirstColumn="0" w:firstRowLastColumn="0" w:lastRowFirstColumn="0" w:lastRowLastColumn="0"/>
              <w:rPr>
                <w:b w:val="0"/>
                <w:bCs w:val="0"/>
                <w:sz w:val="22"/>
              </w:rPr>
            </w:pPr>
            <w:r w:rsidRPr="00A522C4">
              <w:rPr>
                <w:color w:val="auto"/>
                <w:sz w:val="22"/>
              </w:rPr>
              <w:t>TYCIP</w:t>
            </w:r>
          </w:p>
          <w:p w14:paraId="501DDF3F" w14:textId="58996270" w:rsidR="00A522C4" w:rsidRPr="00A522C4" w:rsidRDefault="00A522C4" w:rsidP="00A522C4">
            <w:pPr>
              <w:jc w:val="center"/>
              <w:cnfStyle w:val="100000000000" w:firstRow="1" w:lastRow="0" w:firstColumn="0" w:lastColumn="0" w:oddVBand="0" w:evenVBand="0" w:oddHBand="0" w:evenHBand="0" w:firstRowFirstColumn="0" w:firstRowLastColumn="0" w:lastRowFirstColumn="0" w:lastRowLastColumn="0"/>
              <w:rPr>
                <w:b w:val="0"/>
                <w:bCs w:val="0"/>
                <w:color w:val="auto"/>
                <w:sz w:val="22"/>
              </w:rPr>
            </w:pPr>
            <w:r>
              <w:rPr>
                <w:color w:val="auto"/>
                <w:sz w:val="22"/>
              </w:rPr>
              <w:t>Total</w:t>
            </w:r>
          </w:p>
        </w:tc>
      </w:tr>
      <w:tr w:rsidR="00A522C4" w:rsidRPr="00A522C4" w14:paraId="093122BE" w14:textId="77777777" w:rsidTr="00A522C4">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4900" w:type="dxa"/>
            <w:hideMark/>
          </w:tcPr>
          <w:p w14:paraId="68F92BA9" w14:textId="77777777" w:rsidR="00184916" w:rsidRPr="00A522C4" w:rsidRDefault="00184916" w:rsidP="00184916">
            <w:pPr>
              <w:rPr>
                <w:b w:val="0"/>
                <w:bCs w:val="0"/>
                <w:sz w:val="20"/>
                <w:szCs w:val="20"/>
              </w:rPr>
            </w:pPr>
            <w:r w:rsidRPr="00A522C4">
              <w:rPr>
                <w:b w:val="0"/>
                <w:sz w:val="20"/>
                <w:szCs w:val="20"/>
              </w:rPr>
              <w:t>Philadelphia Lift Station Force Main Improvements</w:t>
            </w:r>
          </w:p>
        </w:tc>
        <w:tc>
          <w:tcPr>
            <w:tcW w:w="1057" w:type="dxa"/>
            <w:hideMark/>
          </w:tcPr>
          <w:p w14:paraId="3A0CEB08" w14:textId="77777777" w:rsidR="00184916" w:rsidRPr="00A522C4" w:rsidRDefault="00184916" w:rsidP="00184916">
            <w:pPr>
              <w:jc w:val="center"/>
              <w:cnfStyle w:val="000000100000" w:firstRow="0" w:lastRow="0" w:firstColumn="0" w:lastColumn="0" w:oddVBand="0" w:evenVBand="0" w:oddHBand="1" w:evenHBand="0" w:firstRowFirstColumn="0" w:firstRowLastColumn="0" w:lastRowFirstColumn="0" w:lastRowLastColumn="0"/>
              <w:rPr>
                <w:sz w:val="20"/>
                <w:szCs w:val="20"/>
              </w:rPr>
            </w:pPr>
            <w:r w:rsidRPr="00A522C4">
              <w:rPr>
                <w:sz w:val="20"/>
                <w:szCs w:val="20"/>
              </w:rPr>
              <w:t xml:space="preserve">$5.00 </w:t>
            </w:r>
          </w:p>
        </w:tc>
        <w:tc>
          <w:tcPr>
            <w:tcW w:w="1057" w:type="dxa"/>
            <w:hideMark/>
          </w:tcPr>
          <w:p w14:paraId="1CA16D52" w14:textId="77777777" w:rsidR="00184916" w:rsidRPr="00A522C4" w:rsidRDefault="00184916" w:rsidP="00184916">
            <w:pPr>
              <w:jc w:val="center"/>
              <w:cnfStyle w:val="000000100000" w:firstRow="0" w:lastRow="0" w:firstColumn="0" w:lastColumn="0" w:oddVBand="0" w:evenVBand="0" w:oddHBand="1" w:evenHBand="0" w:firstRowFirstColumn="0" w:firstRowLastColumn="0" w:lastRowFirstColumn="0" w:lastRowLastColumn="0"/>
              <w:rPr>
                <w:sz w:val="20"/>
                <w:szCs w:val="20"/>
              </w:rPr>
            </w:pPr>
            <w:r w:rsidRPr="00A522C4">
              <w:rPr>
                <w:sz w:val="20"/>
                <w:szCs w:val="20"/>
              </w:rPr>
              <w:t xml:space="preserve">$13.50 </w:t>
            </w:r>
          </w:p>
        </w:tc>
        <w:tc>
          <w:tcPr>
            <w:tcW w:w="1452" w:type="dxa"/>
            <w:hideMark/>
          </w:tcPr>
          <w:p w14:paraId="77EBAD57" w14:textId="77777777" w:rsidR="00184916" w:rsidRPr="00A522C4" w:rsidRDefault="00184916" w:rsidP="00184916">
            <w:pPr>
              <w:jc w:val="center"/>
              <w:cnfStyle w:val="000000100000" w:firstRow="0" w:lastRow="0" w:firstColumn="0" w:lastColumn="0" w:oddVBand="0" w:evenVBand="0" w:oddHBand="1" w:evenHBand="0" w:firstRowFirstColumn="0" w:firstRowLastColumn="0" w:lastRowFirstColumn="0" w:lastRowLastColumn="0"/>
              <w:rPr>
                <w:sz w:val="20"/>
                <w:szCs w:val="20"/>
              </w:rPr>
            </w:pPr>
            <w:r w:rsidRPr="00A522C4">
              <w:rPr>
                <w:sz w:val="20"/>
                <w:szCs w:val="20"/>
              </w:rPr>
              <w:t xml:space="preserve">$0.00 </w:t>
            </w:r>
          </w:p>
        </w:tc>
        <w:tc>
          <w:tcPr>
            <w:tcW w:w="837" w:type="dxa"/>
            <w:hideMark/>
          </w:tcPr>
          <w:p w14:paraId="2765D88B" w14:textId="77777777" w:rsidR="00184916" w:rsidRPr="00A522C4" w:rsidRDefault="00184916" w:rsidP="00184916">
            <w:pPr>
              <w:jc w:val="center"/>
              <w:cnfStyle w:val="000000100000" w:firstRow="0" w:lastRow="0" w:firstColumn="0" w:lastColumn="0" w:oddVBand="0" w:evenVBand="0" w:oddHBand="1" w:evenHBand="0" w:firstRowFirstColumn="0" w:firstRowLastColumn="0" w:lastRowFirstColumn="0" w:lastRowLastColumn="0"/>
              <w:rPr>
                <w:sz w:val="20"/>
                <w:szCs w:val="20"/>
              </w:rPr>
            </w:pPr>
            <w:r w:rsidRPr="00A522C4">
              <w:rPr>
                <w:sz w:val="20"/>
                <w:szCs w:val="20"/>
              </w:rPr>
              <w:t xml:space="preserve">$18.50 </w:t>
            </w:r>
          </w:p>
        </w:tc>
      </w:tr>
      <w:tr w:rsidR="00A522C4" w:rsidRPr="00A522C4" w14:paraId="5F927F19" w14:textId="77777777" w:rsidTr="00A522C4">
        <w:trPr>
          <w:trHeight w:val="331"/>
        </w:trPr>
        <w:tc>
          <w:tcPr>
            <w:cnfStyle w:val="001000000000" w:firstRow="0" w:lastRow="0" w:firstColumn="1" w:lastColumn="0" w:oddVBand="0" w:evenVBand="0" w:oddHBand="0" w:evenHBand="0" w:firstRowFirstColumn="0" w:firstRowLastColumn="0" w:lastRowFirstColumn="0" w:lastRowLastColumn="0"/>
            <w:tcW w:w="4900" w:type="dxa"/>
            <w:hideMark/>
          </w:tcPr>
          <w:p w14:paraId="3D0E891F" w14:textId="77777777" w:rsidR="00184916" w:rsidRPr="00A522C4" w:rsidRDefault="00184916" w:rsidP="00184916">
            <w:pPr>
              <w:rPr>
                <w:b w:val="0"/>
                <w:bCs w:val="0"/>
                <w:sz w:val="20"/>
                <w:szCs w:val="20"/>
              </w:rPr>
            </w:pPr>
            <w:r w:rsidRPr="00A522C4">
              <w:rPr>
                <w:b w:val="0"/>
                <w:sz w:val="20"/>
                <w:szCs w:val="20"/>
              </w:rPr>
              <w:t>NRW Pipeline Relining along Cucamonga Creek</w:t>
            </w:r>
          </w:p>
        </w:tc>
        <w:tc>
          <w:tcPr>
            <w:tcW w:w="1057" w:type="dxa"/>
            <w:hideMark/>
          </w:tcPr>
          <w:p w14:paraId="71AF49A5" w14:textId="77777777" w:rsidR="00184916" w:rsidRPr="00A522C4" w:rsidRDefault="00184916" w:rsidP="0018491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522C4">
              <w:rPr>
                <w:sz w:val="20"/>
                <w:szCs w:val="20"/>
              </w:rPr>
              <w:t>2.2</w:t>
            </w:r>
          </w:p>
        </w:tc>
        <w:tc>
          <w:tcPr>
            <w:tcW w:w="1057" w:type="dxa"/>
            <w:hideMark/>
          </w:tcPr>
          <w:p w14:paraId="6CA9218B" w14:textId="77777777" w:rsidR="00184916" w:rsidRPr="00A522C4" w:rsidRDefault="00184916" w:rsidP="0018491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522C4">
              <w:rPr>
                <w:sz w:val="20"/>
                <w:szCs w:val="20"/>
              </w:rPr>
              <w:t> </w:t>
            </w:r>
          </w:p>
        </w:tc>
        <w:tc>
          <w:tcPr>
            <w:tcW w:w="1452" w:type="dxa"/>
            <w:hideMark/>
          </w:tcPr>
          <w:p w14:paraId="2F78D333" w14:textId="77777777" w:rsidR="00184916" w:rsidRPr="00A522C4" w:rsidRDefault="00184916" w:rsidP="0018491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522C4">
              <w:rPr>
                <w:sz w:val="20"/>
                <w:szCs w:val="20"/>
              </w:rPr>
              <w:t> </w:t>
            </w:r>
          </w:p>
        </w:tc>
        <w:tc>
          <w:tcPr>
            <w:tcW w:w="837" w:type="dxa"/>
            <w:hideMark/>
          </w:tcPr>
          <w:p w14:paraId="494B0F30" w14:textId="77777777" w:rsidR="00184916" w:rsidRPr="00A522C4" w:rsidRDefault="00184916" w:rsidP="0018491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522C4">
              <w:rPr>
                <w:sz w:val="20"/>
                <w:szCs w:val="20"/>
              </w:rPr>
              <w:t>2.2</w:t>
            </w:r>
          </w:p>
        </w:tc>
      </w:tr>
      <w:tr w:rsidR="00A522C4" w:rsidRPr="00A522C4" w14:paraId="00824EF5" w14:textId="77777777" w:rsidTr="00A522C4">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4900" w:type="dxa"/>
            <w:hideMark/>
          </w:tcPr>
          <w:p w14:paraId="1222DA0C" w14:textId="77777777" w:rsidR="00184916" w:rsidRPr="00A522C4" w:rsidRDefault="00184916" w:rsidP="00184916">
            <w:pPr>
              <w:rPr>
                <w:b w:val="0"/>
                <w:bCs w:val="0"/>
                <w:sz w:val="20"/>
                <w:szCs w:val="20"/>
              </w:rPr>
            </w:pPr>
            <w:r w:rsidRPr="00A522C4">
              <w:rPr>
                <w:b w:val="0"/>
                <w:sz w:val="20"/>
                <w:szCs w:val="20"/>
              </w:rPr>
              <w:t>East End Flowmeter Replacement</w:t>
            </w:r>
          </w:p>
        </w:tc>
        <w:tc>
          <w:tcPr>
            <w:tcW w:w="1057" w:type="dxa"/>
            <w:hideMark/>
          </w:tcPr>
          <w:p w14:paraId="5E13AA6A" w14:textId="77777777" w:rsidR="00184916" w:rsidRPr="00A522C4" w:rsidRDefault="00184916" w:rsidP="00184916">
            <w:pPr>
              <w:jc w:val="center"/>
              <w:cnfStyle w:val="000000100000" w:firstRow="0" w:lastRow="0" w:firstColumn="0" w:lastColumn="0" w:oddVBand="0" w:evenVBand="0" w:oddHBand="1" w:evenHBand="0" w:firstRowFirstColumn="0" w:firstRowLastColumn="0" w:lastRowFirstColumn="0" w:lastRowLastColumn="0"/>
              <w:rPr>
                <w:sz w:val="20"/>
                <w:szCs w:val="20"/>
              </w:rPr>
            </w:pPr>
            <w:r w:rsidRPr="00A522C4">
              <w:rPr>
                <w:sz w:val="20"/>
                <w:szCs w:val="20"/>
              </w:rPr>
              <w:t>1.6</w:t>
            </w:r>
          </w:p>
        </w:tc>
        <w:tc>
          <w:tcPr>
            <w:tcW w:w="1057" w:type="dxa"/>
            <w:hideMark/>
          </w:tcPr>
          <w:p w14:paraId="337D9D38" w14:textId="77777777" w:rsidR="00184916" w:rsidRPr="00A522C4" w:rsidRDefault="00184916" w:rsidP="00184916">
            <w:pPr>
              <w:jc w:val="center"/>
              <w:cnfStyle w:val="000000100000" w:firstRow="0" w:lastRow="0" w:firstColumn="0" w:lastColumn="0" w:oddVBand="0" w:evenVBand="0" w:oddHBand="1" w:evenHBand="0" w:firstRowFirstColumn="0" w:firstRowLastColumn="0" w:lastRowFirstColumn="0" w:lastRowLastColumn="0"/>
              <w:rPr>
                <w:sz w:val="20"/>
                <w:szCs w:val="20"/>
              </w:rPr>
            </w:pPr>
            <w:r w:rsidRPr="00A522C4">
              <w:rPr>
                <w:sz w:val="20"/>
                <w:szCs w:val="20"/>
              </w:rPr>
              <w:t> </w:t>
            </w:r>
          </w:p>
        </w:tc>
        <w:tc>
          <w:tcPr>
            <w:tcW w:w="1452" w:type="dxa"/>
            <w:hideMark/>
          </w:tcPr>
          <w:p w14:paraId="750538B8" w14:textId="77777777" w:rsidR="00184916" w:rsidRPr="00A522C4" w:rsidRDefault="00184916" w:rsidP="00184916">
            <w:pPr>
              <w:jc w:val="center"/>
              <w:cnfStyle w:val="000000100000" w:firstRow="0" w:lastRow="0" w:firstColumn="0" w:lastColumn="0" w:oddVBand="0" w:evenVBand="0" w:oddHBand="1" w:evenHBand="0" w:firstRowFirstColumn="0" w:firstRowLastColumn="0" w:lastRowFirstColumn="0" w:lastRowLastColumn="0"/>
              <w:rPr>
                <w:sz w:val="20"/>
                <w:szCs w:val="20"/>
              </w:rPr>
            </w:pPr>
            <w:r w:rsidRPr="00A522C4">
              <w:rPr>
                <w:sz w:val="20"/>
                <w:szCs w:val="20"/>
              </w:rPr>
              <w:t> </w:t>
            </w:r>
          </w:p>
        </w:tc>
        <w:tc>
          <w:tcPr>
            <w:tcW w:w="837" w:type="dxa"/>
            <w:hideMark/>
          </w:tcPr>
          <w:p w14:paraId="645DE0B4" w14:textId="77777777" w:rsidR="00184916" w:rsidRPr="00A522C4" w:rsidRDefault="00184916" w:rsidP="00184916">
            <w:pPr>
              <w:jc w:val="center"/>
              <w:cnfStyle w:val="000000100000" w:firstRow="0" w:lastRow="0" w:firstColumn="0" w:lastColumn="0" w:oddVBand="0" w:evenVBand="0" w:oddHBand="1" w:evenHBand="0" w:firstRowFirstColumn="0" w:firstRowLastColumn="0" w:lastRowFirstColumn="0" w:lastRowLastColumn="0"/>
              <w:rPr>
                <w:sz w:val="20"/>
                <w:szCs w:val="20"/>
              </w:rPr>
            </w:pPr>
            <w:r w:rsidRPr="00A522C4">
              <w:rPr>
                <w:sz w:val="20"/>
                <w:szCs w:val="20"/>
              </w:rPr>
              <w:t>1.6</w:t>
            </w:r>
          </w:p>
        </w:tc>
      </w:tr>
      <w:tr w:rsidR="00A522C4" w:rsidRPr="00A522C4" w14:paraId="42123937" w14:textId="77777777" w:rsidTr="00A522C4">
        <w:trPr>
          <w:trHeight w:val="331"/>
        </w:trPr>
        <w:tc>
          <w:tcPr>
            <w:cnfStyle w:val="001000000000" w:firstRow="0" w:lastRow="0" w:firstColumn="1" w:lastColumn="0" w:oddVBand="0" w:evenVBand="0" w:oddHBand="0" w:evenHBand="0" w:firstRowFirstColumn="0" w:firstRowLastColumn="0" w:lastRowFirstColumn="0" w:lastRowLastColumn="0"/>
            <w:tcW w:w="4900" w:type="dxa"/>
            <w:hideMark/>
          </w:tcPr>
          <w:p w14:paraId="221BC042" w14:textId="77777777" w:rsidR="00184916" w:rsidRPr="00A522C4" w:rsidRDefault="00184916" w:rsidP="00184916">
            <w:pPr>
              <w:rPr>
                <w:b w:val="0"/>
                <w:bCs w:val="0"/>
                <w:sz w:val="20"/>
                <w:szCs w:val="20"/>
              </w:rPr>
            </w:pPr>
            <w:r w:rsidRPr="00A522C4">
              <w:rPr>
                <w:b w:val="0"/>
                <w:sz w:val="20"/>
                <w:szCs w:val="20"/>
              </w:rPr>
              <w:t>NRWS Manhole Upgrades</w:t>
            </w:r>
          </w:p>
        </w:tc>
        <w:tc>
          <w:tcPr>
            <w:tcW w:w="1057" w:type="dxa"/>
            <w:hideMark/>
          </w:tcPr>
          <w:p w14:paraId="1DAB60BF" w14:textId="77777777" w:rsidR="00184916" w:rsidRPr="00A522C4" w:rsidRDefault="00184916" w:rsidP="0018491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522C4">
              <w:rPr>
                <w:sz w:val="20"/>
                <w:szCs w:val="20"/>
              </w:rPr>
              <w:t>0.2</w:t>
            </w:r>
          </w:p>
        </w:tc>
        <w:tc>
          <w:tcPr>
            <w:tcW w:w="1057" w:type="dxa"/>
            <w:hideMark/>
          </w:tcPr>
          <w:p w14:paraId="52AB4A47" w14:textId="77777777" w:rsidR="00184916" w:rsidRPr="00A522C4" w:rsidRDefault="00184916" w:rsidP="0018491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522C4">
              <w:rPr>
                <w:sz w:val="20"/>
                <w:szCs w:val="20"/>
              </w:rPr>
              <w:t>0.2</w:t>
            </w:r>
          </w:p>
        </w:tc>
        <w:tc>
          <w:tcPr>
            <w:tcW w:w="1452" w:type="dxa"/>
            <w:hideMark/>
          </w:tcPr>
          <w:p w14:paraId="104D618C" w14:textId="77777777" w:rsidR="00184916" w:rsidRPr="00A522C4" w:rsidRDefault="00184916" w:rsidP="0018491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522C4">
              <w:rPr>
                <w:sz w:val="20"/>
                <w:szCs w:val="20"/>
              </w:rPr>
              <w:t>0.6</w:t>
            </w:r>
          </w:p>
        </w:tc>
        <w:tc>
          <w:tcPr>
            <w:tcW w:w="837" w:type="dxa"/>
            <w:hideMark/>
          </w:tcPr>
          <w:p w14:paraId="03A3E844" w14:textId="77777777" w:rsidR="00184916" w:rsidRPr="00A522C4" w:rsidRDefault="00184916" w:rsidP="0018491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522C4">
              <w:rPr>
                <w:sz w:val="20"/>
                <w:szCs w:val="20"/>
              </w:rPr>
              <w:t>2</w:t>
            </w:r>
          </w:p>
        </w:tc>
      </w:tr>
      <w:tr w:rsidR="00A522C4" w:rsidRPr="00A522C4" w14:paraId="040C2766" w14:textId="77777777" w:rsidTr="00A522C4">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4900" w:type="dxa"/>
            <w:hideMark/>
          </w:tcPr>
          <w:p w14:paraId="5029DBE1" w14:textId="77777777" w:rsidR="00184916" w:rsidRPr="00A522C4" w:rsidRDefault="00184916" w:rsidP="00184916">
            <w:pPr>
              <w:rPr>
                <w:b w:val="0"/>
                <w:bCs w:val="0"/>
                <w:sz w:val="20"/>
                <w:szCs w:val="20"/>
              </w:rPr>
            </w:pPr>
            <w:r w:rsidRPr="00A522C4">
              <w:rPr>
                <w:b w:val="0"/>
                <w:sz w:val="20"/>
                <w:szCs w:val="20"/>
              </w:rPr>
              <w:t>All Other Capital Projects</w:t>
            </w:r>
          </w:p>
        </w:tc>
        <w:tc>
          <w:tcPr>
            <w:tcW w:w="1057" w:type="dxa"/>
            <w:hideMark/>
          </w:tcPr>
          <w:p w14:paraId="70E52BF7" w14:textId="77777777" w:rsidR="00184916" w:rsidRPr="00A522C4" w:rsidRDefault="00184916" w:rsidP="00184916">
            <w:pPr>
              <w:jc w:val="center"/>
              <w:cnfStyle w:val="000000100000" w:firstRow="0" w:lastRow="0" w:firstColumn="0" w:lastColumn="0" w:oddVBand="0" w:evenVBand="0" w:oddHBand="1" w:evenHBand="0" w:firstRowFirstColumn="0" w:firstRowLastColumn="0" w:lastRowFirstColumn="0" w:lastRowLastColumn="0"/>
              <w:rPr>
                <w:sz w:val="20"/>
                <w:szCs w:val="20"/>
              </w:rPr>
            </w:pPr>
            <w:r w:rsidRPr="00A522C4">
              <w:rPr>
                <w:sz w:val="20"/>
                <w:szCs w:val="20"/>
              </w:rPr>
              <w:t> </w:t>
            </w:r>
          </w:p>
        </w:tc>
        <w:tc>
          <w:tcPr>
            <w:tcW w:w="1057" w:type="dxa"/>
            <w:hideMark/>
          </w:tcPr>
          <w:p w14:paraId="22D48BC8" w14:textId="77777777" w:rsidR="00184916" w:rsidRPr="00A522C4" w:rsidRDefault="00184916" w:rsidP="00184916">
            <w:pPr>
              <w:jc w:val="center"/>
              <w:cnfStyle w:val="000000100000" w:firstRow="0" w:lastRow="0" w:firstColumn="0" w:lastColumn="0" w:oddVBand="0" w:evenVBand="0" w:oddHBand="1" w:evenHBand="0" w:firstRowFirstColumn="0" w:firstRowLastColumn="0" w:lastRowFirstColumn="0" w:lastRowLastColumn="0"/>
              <w:rPr>
                <w:sz w:val="20"/>
                <w:szCs w:val="20"/>
              </w:rPr>
            </w:pPr>
            <w:r w:rsidRPr="00A522C4">
              <w:rPr>
                <w:sz w:val="20"/>
                <w:szCs w:val="20"/>
              </w:rPr>
              <w:t> </w:t>
            </w:r>
          </w:p>
        </w:tc>
        <w:tc>
          <w:tcPr>
            <w:tcW w:w="1452" w:type="dxa"/>
            <w:hideMark/>
          </w:tcPr>
          <w:p w14:paraId="4F03449B" w14:textId="77777777" w:rsidR="00184916" w:rsidRPr="00A522C4" w:rsidRDefault="00184916" w:rsidP="00184916">
            <w:pPr>
              <w:jc w:val="center"/>
              <w:cnfStyle w:val="000000100000" w:firstRow="0" w:lastRow="0" w:firstColumn="0" w:lastColumn="0" w:oddVBand="0" w:evenVBand="0" w:oddHBand="1" w:evenHBand="0" w:firstRowFirstColumn="0" w:firstRowLastColumn="0" w:lastRowFirstColumn="0" w:lastRowLastColumn="0"/>
              <w:rPr>
                <w:sz w:val="20"/>
                <w:szCs w:val="20"/>
              </w:rPr>
            </w:pPr>
            <w:r w:rsidRPr="00A522C4">
              <w:rPr>
                <w:sz w:val="20"/>
                <w:szCs w:val="20"/>
              </w:rPr>
              <w:t>1.5</w:t>
            </w:r>
          </w:p>
        </w:tc>
        <w:tc>
          <w:tcPr>
            <w:tcW w:w="837" w:type="dxa"/>
            <w:hideMark/>
          </w:tcPr>
          <w:p w14:paraId="4B6BDD0D" w14:textId="77777777" w:rsidR="00184916" w:rsidRPr="00A522C4" w:rsidRDefault="00184916" w:rsidP="00184916">
            <w:pPr>
              <w:jc w:val="center"/>
              <w:cnfStyle w:val="000000100000" w:firstRow="0" w:lastRow="0" w:firstColumn="0" w:lastColumn="0" w:oddVBand="0" w:evenVBand="0" w:oddHBand="1" w:evenHBand="0" w:firstRowFirstColumn="0" w:firstRowLastColumn="0" w:lastRowFirstColumn="0" w:lastRowLastColumn="0"/>
              <w:rPr>
                <w:sz w:val="20"/>
                <w:szCs w:val="20"/>
              </w:rPr>
            </w:pPr>
            <w:r w:rsidRPr="00A522C4">
              <w:rPr>
                <w:sz w:val="20"/>
                <w:szCs w:val="20"/>
              </w:rPr>
              <w:t>6.2</w:t>
            </w:r>
          </w:p>
        </w:tc>
      </w:tr>
      <w:tr w:rsidR="00A522C4" w:rsidRPr="00A522C4" w14:paraId="43A3A804" w14:textId="77777777" w:rsidTr="00A522C4">
        <w:trPr>
          <w:trHeight w:val="331"/>
        </w:trPr>
        <w:tc>
          <w:tcPr>
            <w:cnfStyle w:val="001000000000" w:firstRow="0" w:lastRow="0" w:firstColumn="1" w:lastColumn="0" w:oddVBand="0" w:evenVBand="0" w:oddHBand="0" w:evenHBand="0" w:firstRowFirstColumn="0" w:firstRowLastColumn="0" w:lastRowFirstColumn="0" w:lastRowLastColumn="0"/>
            <w:tcW w:w="4900" w:type="dxa"/>
            <w:hideMark/>
          </w:tcPr>
          <w:p w14:paraId="61502834" w14:textId="77777777" w:rsidR="00184916" w:rsidRPr="00A522C4" w:rsidRDefault="00184916" w:rsidP="00184916">
            <w:pPr>
              <w:rPr>
                <w:b w:val="0"/>
                <w:bCs w:val="0"/>
                <w:sz w:val="20"/>
                <w:szCs w:val="20"/>
              </w:rPr>
            </w:pPr>
            <w:r w:rsidRPr="00A522C4">
              <w:rPr>
                <w:sz w:val="20"/>
                <w:szCs w:val="20"/>
              </w:rPr>
              <w:t>Total</w:t>
            </w:r>
          </w:p>
        </w:tc>
        <w:tc>
          <w:tcPr>
            <w:tcW w:w="1057" w:type="dxa"/>
            <w:hideMark/>
          </w:tcPr>
          <w:p w14:paraId="5B233CEA" w14:textId="77777777" w:rsidR="00184916" w:rsidRPr="00A522C4" w:rsidRDefault="00184916" w:rsidP="00184916">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A522C4">
              <w:rPr>
                <w:b/>
                <w:bCs/>
                <w:sz w:val="20"/>
                <w:szCs w:val="20"/>
              </w:rPr>
              <w:t xml:space="preserve">$9.00 </w:t>
            </w:r>
          </w:p>
        </w:tc>
        <w:tc>
          <w:tcPr>
            <w:tcW w:w="1057" w:type="dxa"/>
            <w:hideMark/>
          </w:tcPr>
          <w:p w14:paraId="71E4B7AB" w14:textId="77777777" w:rsidR="00184916" w:rsidRPr="00A522C4" w:rsidRDefault="00184916" w:rsidP="00184916">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A522C4">
              <w:rPr>
                <w:b/>
                <w:bCs/>
                <w:sz w:val="20"/>
                <w:szCs w:val="20"/>
              </w:rPr>
              <w:t xml:space="preserve">$13.70 </w:t>
            </w:r>
          </w:p>
        </w:tc>
        <w:tc>
          <w:tcPr>
            <w:tcW w:w="1452" w:type="dxa"/>
            <w:hideMark/>
          </w:tcPr>
          <w:p w14:paraId="6E671314" w14:textId="77777777" w:rsidR="00184916" w:rsidRPr="00A522C4" w:rsidRDefault="00184916" w:rsidP="00184916">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A522C4">
              <w:rPr>
                <w:b/>
                <w:bCs/>
                <w:sz w:val="20"/>
                <w:szCs w:val="20"/>
              </w:rPr>
              <w:t xml:space="preserve">$2.10 </w:t>
            </w:r>
          </w:p>
        </w:tc>
        <w:tc>
          <w:tcPr>
            <w:tcW w:w="837" w:type="dxa"/>
            <w:hideMark/>
          </w:tcPr>
          <w:p w14:paraId="0353DF21" w14:textId="77777777" w:rsidR="00184916" w:rsidRPr="00A522C4" w:rsidRDefault="00184916" w:rsidP="00184916">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A522C4">
              <w:rPr>
                <w:b/>
                <w:bCs/>
                <w:sz w:val="20"/>
                <w:szCs w:val="20"/>
              </w:rPr>
              <w:t xml:space="preserve">$30.50 </w:t>
            </w:r>
          </w:p>
        </w:tc>
      </w:tr>
    </w:tbl>
    <w:p w14:paraId="2D7AF907" w14:textId="77777777" w:rsidR="00184916" w:rsidRDefault="00184916" w:rsidP="00C253B8">
      <w:pPr>
        <w:jc w:val="center"/>
        <w:rPr>
          <w:rFonts w:ascii="Times" w:hAnsi="Times"/>
          <w:b/>
          <w:bCs/>
        </w:rPr>
      </w:pPr>
    </w:p>
    <w:p w14:paraId="0D2116E4" w14:textId="79D3D0DD" w:rsidR="00184916" w:rsidRDefault="00184916" w:rsidP="00C253B8">
      <w:pPr>
        <w:jc w:val="center"/>
        <w:rPr>
          <w:rFonts w:ascii="Times" w:hAnsi="Times"/>
          <w:b/>
          <w:bCs/>
        </w:rPr>
      </w:pPr>
    </w:p>
    <w:p w14:paraId="4E00A45F" w14:textId="09AEB48B" w:rsidR="00184916" w:rsidRDefault="00184916" w:rsidP="00C253B8">
      <w:pPr>
        <w:jc w:val="center"/>
        <w:rPr>
          <w:rFonts w:ascii="Times" w:hAnsi="Times"/>
          <w:b/>
          <w:bCs/>
        </w:rPr>
      </w:pPr>
    </w:p>
    <w:p w14:paraId="0E50FEC8" w14:textId="544B00AB" w:rsidR="00184916" w:rsidRDefault="00184916" w:rsidP="00C253B8">
      <w:pPr>
        <w:jc w:val="center"/>
        <w:rPr>
          <w:rFonts w:ascii="Times" w:hAnsi="Times"/>
          <w:b/>
          <w:bCs/>
        </w:rPr>
      </w:pPr>
    </w:p>
    <w:p w14:paraId="5C657AEF" w14:textId="3C2A025C" w:rsidR="00184916" w:rsidRDefault="00184916" w:rsidP="00C253B8">
      <w:pPr>
        <w:jc w:val="center"/>
        <w:rPr>
          <w:rFonts w:ascii="Times" w:hAnsi="Times"/>
          <w:b/>
          <w:bCs/>
        </w:rPr>
      </w:pPr>
    </w:p>
    <w:p w14:paraId="32A94D9A" w14:textId="2412E00B" w:rsidR="00184916" w:rsidRDefault="00184916" w:rsidP="00C253B8">
      <w:pPr>
        <w:jc w:val="center"/>
        <w:rPr>
          <w:rFonts w:ascii="Times" w:hAnsi="Times"/>
          <w:b/>
          <w:bCs/>
        </w:rPr>
      </w:pPr>
    </w:p>
    <w:p w14:paraId="0329CA56" w14:textId="7543EB87" w:rsidR="00184916" w:rsidRDefault="00184916" w:rsidP="00C253B8">
      <w:pPr>
        <w:jc w:val="center"/>
        <w:rPr>
          <w:rFonts w:ascii="Times" w:hAnsi="Times"/>
          <w:b/>
          <w:bCs/>
        </w:rPr>
      </w:pPr>
    </w:p>
    <w:p w14:paraId="49AF9347" w14:textId="6FB1F7A9" w:rsidR="00184916" w:rsidRDefault="00184916" w:rsidP="00C253B8">
      <w:pPr>
        <w:jc w:val="center"/>
        <w:rPr>
          <w:rFonts w:ascii="Times" w:hAnsi="Times"/>
          <w:b/>
          <w:bCs/>
        </w:rPr>
      </w:pPr>
    </w:p>
    <w:p w14:paraId="19770BAD" w14:textId="0707BA4D" w:rsidR="00184916" w:rsidRDefault="00184916" w:rsidP="00C253B8">
      <w:pPr>
        <w:jc w:val="center"/>
        <w:rPr>
          <w:rFonts w:ascii="Times" w:hAnsi="Times"/>
          <w:b/>
          <w:bCs/>
        </w:rPr>
      </w:pPr>
    </w:p>
    <w:p w14:paraId="4E82D644" w14:textId="0C62D4AF" w:rsidR="00184916" w:rsidRDefault="00184916" w:rsidP="00C253B8">
      <w:pPr>
        <w:jc w:val="center"/>
        <w:rPr>
          <w:rFonts w:ascii="Times" w:hAnsi="Times"/>
          <w:b/>
          <w:bCs/>
        </w:rPr>
      </w:pPr>
    </w:p>
    <w:p w14:paraId="4685F938" w14:textId="1CB6A34D" w:rsidR="00184916" w:rsidRDefault="00184916" w:rsidP="00C253B8">
      <w:pPr>
        <w:jc w:val="center"/>
        <w:rPr>
          <w:rFonts w:ascii="Times" w:hAnsi="Times"/>
          <w:b/>
          <w:bCs/>
        </w:rPr>
      </w:pPr>
    </w:p>
    <w:p w14:paraId="25A37F2A" w14:textId="0C523EF6" w:rsidR="00184916" w:rsidRDefault="00184916" w:rsidP="00C253B8">
      <w:pPr>
        <w:jc w:val="center"/>
        <w:rPr>
          <w:rFonts w:ascii="Times" w:hAnsi="Times"/>
          <w:b/>
          <w:bCs/>
        </w:rPr>
      </w:pPr>
    </w:p>
    <w:p w14:paraId="4A460888" w14:textId="7BC226D7" w:rsidR="00184916" w:rsidRDefault="00184916" w:rsidP="00C253B8">
      <w:pPr>
        <w:jc w:val="center"/>
        <w:rPr>
          <w:rFonts w:ascii="Times" w:hAnsi="Times"/>
          <w:b/>
          <w:bCs/>
        </w:rPr>
      </w:pPr>
    </w:p>
    <w:p w14:paraId="6258F359" w14:textId="097C973E" w:rsidR="00184916" w:rsidRDefault="00184916" w:rsidP="00C253B8">
      <w:pPr>
        <w:jc w:val="center"/>
        <w:rPr>
          <w:rFonts w:ascii="Times" w:hAnsi="Times"/>
          <w:b/>
          <w:bCs/>
        </w:rPr>
      </w:pPr>
    </w:p>
    <w:p w14:paraId="0BC2ED4F" w14:textId="5016A3A0" w:rsidR="00184916" w:rsidRDefault="00184916" w:rsidP="00C253B8">
      <w:pPr>
        <w:jc w:val="center"/>
        <w:rPr>
          <w:rFonts w:ascii="Times" w:hAnsi="Times"/>
          <w:b/>
          <w:bCs/>
        </w:rPr>
      </w:pPr>
    </w:p>
    <w:p w14:paraId="0F90063F" w14:textId="234C5F8D" w:rsidR="00184916" w:rsidRDefault="00184916" w:rsidP="00C253B8">
      <w:pPr>
        <w:jc w:val="center"/>
        <w:rPr>
          <w:rFonts w:ascii="Times" w:hAnsi="Times"/>
          <w:b/>
          <w:bCs/>
        </w:rPr>
      </w:pPr>
    </w:p>
    <w:p w14:paraId="43FA74B2" w14:textId="7A5BADA6" w:rsidR="00184916" w:rsidRDefault="00184916" w:rsidP="00C253B8">
      <w:pPr>
        <w:jc w:val="center"/>
        <w:rPr>
          <w:rFonts w:ascii="Times" w:hAnsi="Times"/>
          <w:b/>
          <w:bCs/>
        </w:rPr>
      </w:pPr>
    </w:p>
    <w:p w14:paraId="2A21A31B" w14:textId="677B0891" w:rsidR="00184916" w:rsidRDefault="00184916" w:rsidP="00C253B8">
      <w:pPr>
        <w:jc w:val="center"/>
        <w:rPr>
          <w:rFonts w:ascii="Times" w:hAnsi="Times"/>
          <w:b/>
          <w:bCs/>
        </w:rPr>
      </w:pPr>
    </w:p>
    <w:p w14:paraId="760480A2" w14:textId="25C7BE84" w:rsidR="00184916" w:rsidRDefault="00184916" w:rsidP="00C253B8">
      <w:pPr>
        <w:jc w:val="center"/>
        <w:rPr>
          <w:rFonts w:ascii="Times" w:hAnsi="Times"/>
          <w:b/>
          <w:bCs/>
        </w:rPr>
      </w:pPr>
    </w:p>
    <w:p w14:paraId="7AE48493" w14:textId="2BBEE534" w:rsidR="00184916" w:rsidRDefault="00184916" w:rsidP="00C253B8">
      <w:pPr>
        <w:jc w:val="center"/>
        <w:rPr>
          <w:rFonts w:ascii="Times" w:hAnsi="Times"/>
          <w:b/>
          <w:bCs/>
        </w:rPr>
      </w:pPr>
    </w:p>
    <w:p w14:paraId="556BC1A6" w14:textId="21F0DB44" w:rsidR="00184916" w:rsidRDefault="00184916" w:rsidP="00C253B8">
      <w:pPr>
        <w:jc w:val="center"/>
        <w:rPr>
          <w:rFonts w:ascii="Times" w:hAnsi="Times"/>
          <w:b/>
          <w:bCs/>
        </w:rPr>
      </w:pPr>
    </w:p>
    <w:p w14:paraId="30189100" w14:textId="397F89E9" w:rsidR="00184916" w:rsidRDefault="00184916" w:rsidP="00C253B8">
      <w:pPr>
        <w:jc w:val="center"/>
        <w:rPr>
          <w:rFonts w:ascii="Times" w:hAnsi="Times"/>
          <w:b/>
          <w:bCs/>
        </w:rPr>
      </w:pPr>
    </w:p>
    <w:p w14:paraId="6CDA9279" w14:textId="18321C34" w:rsidR="00184916" w:rsidRDefault="00184916" w:rsidP="00C253B8">
      <w:pPr>
        <w:jc w:val="center"/>
        <w:rPr>
          <w:rFonts w:ascii="Times" w:hAnsi="Times"/>
          <w:b/>
          <w:bCs/>
        </w:rPr>
      </w:pPr>
    </w:p>
    <w:p w14:paraId="5570AE43" w14:textId="5EDA2318" w:rsidR="00184916" w:rsidRDefault="00184916" w:rsidP="00C253B8">
      <w:pPr>
        <w:jc w:val="center"/>
        <w:rPr>
          <w:rFonts w:ascii="Times" w:hAnsi="Times"/>
          <w:b/>
          <w:bCs/>
        </w:rPr>
      </w:pPr>
    </w:p>
    <w:p w14:paraId="718138FE" w14:textId="057449FC" w:rsidR="00184916" w:rsidRDefault="00184916" w:rsidP="00C253B8">
      <w:pPr>
        <w:jc w:val="center"/>
        <w:rPr>
          <w:rFonts w:ascii="Times" w:hAnsi="Times"/>
          <w:b/>
          <w:bCs/>
        </w:rPr>
      </w:pPr>
    </w:p>
    <w:p w14:paraId="5946F6A0" w14:textId="12704D2B" w:rsidR="00184916" w:rsidRDefault="00184916" w:rsidP="00C253B8">
      <w:pPr>
        <w:jc w:val="center"/>
        <w:rPr>
          <w:rFonts w:ascii="Times" w:hAnsi="Times"/>
          <w:b/>
          <w:bCs/>
        </w:rPr>
      </w:pPr>
    </w:p>
    <w:p w14:paraId="794D1374" w14:textId="1CF0491F" w:rsidR="00184916" w:rsidRDefault="00184916" w:rsidP="00C253B8">
      <w:pPr>
        <w:jc w:val="center"/>
        <w:rPr>
          <w:rFonts w:ascii="Times" w:hAnsi="Times"/>
          <w:b/>
          <w:bCs/>
        </w:rPr>
      </w:pPr>
    </w:p>
    <w:p w14:paraId="4931E707" w14:textId="1A78DD4C" w:rsidR="00184916" w:rsidRDefault="00184916" w:rsidP="00C253B8">
      <w:pPr>
        <w:jc w:val="center"/>
        <w:rPr>
          <w:rFonts w:ascii="Times" w:hAnsi="Times"/>
          <w:b/>
          <w:bCs/>
        </w:rPr>
      </w:pPr>
    </w:p>
    <w:p w14:paraId="29CE79B6" w14:textId="7120116F" w:rsidR="00184916" w:rsidRDefault="00184916" w:rsidP="00C253B8">
      <w:pPr>
        <w:jc w:val="center"/>
        <w:rPr>
          <w:rFonts w:ascii="Times" w:hAnsi="Times"/>
          <w:b/>
          <w:bCs/>
        </w:rPr>
      </w:pPr>
    </w:p>
    <w:p w14:paraId="7649B2C0" w14:textId="045B7174" w:rsidR="00184916" w:rsidRDefault="00184916" w:rsidP="00C253B8">
      <w:pPr>
        <w:jc w:val="center"/>
        <w:rPr>
          <w:rFonts w:ascii="Times" w:hAnsi="Times"/>
          <w:b/>
          <w:bCs/>
        </w:rPr>
      </w:pPr>
    </w:p>
    <w:p w14:paraId="431C32CD" w14:textId="0F624B37" w:rsidR="00184916" w:rsidRDefault="00184916" w:rsidP="00C253B8">
      <w:pPr>
        <w:jc w:val="center"/>
        <w:rPr>
          <w:rFonts w:ascii="Times" w:hAnsi="Times"/>
          <w:b/>
          <w:bCs/>
        </w:rPr>
      </w:pPr>
    </w:p>
    <w:p w14:paraId="48EC3F5E" w14:textId="77777777" w:rsidR="00A522C4" w:rsidRDefault="00A522C4" w:rsidP="00C253B8">
      <w:pPr>
        <w:jc w:val="center"/>
        <w:rPr>
          <w:rFonts w:ascii="Times" w:hAnsi="Times"/>
          <w:b/>
          <w:bCs/>
        </w:rPr>
      </w:pPr>
    </w:p>
    <w:p w14:paraId="41C5B950" w14:textId="5963047B" w:rsidR="00184916" w:rsidRDefault="00184916" w:rsidP="00C253B8">
      <w:pPr>
        <w:jc w:val="center"/>
        <w:rPr>
          <w:rFonts w:ascii="Times" w:hAnsi="Times"/>
          <w:b/>
          <w:bCs/>
        </w:rPr>
      </w:pPr>
    </w:p>
    <w:p w14:paraId="46AFDB65" w14:textId="63807D11" w:rsidR="00184916" w:rsidRDefault="00184916" w:rsidP="00C253B8">
      <w:pPr>
        <w:jc w:val="center"/>
        <w:rPr>
          <w:rFonts w:ascii="Times" w:hAnsi="Times"/>
          <w:b/>
          <w:bCs/>
        </w:rPr>
      </w:pPr>
    </w:p>
    <w:p w14:paraId="721D1274" w14:textId="58403DA6" w:rsidR="0013535E" w:rsidRDefault="0013535E" w:rsidP="00C253B8">
      <w:pPr>
        <w:jc w:val="center"/>
        <w:rPr>
          <w:rFonts w:ascii="Times" w:hAnsi="Times"/>
          <w:b/>
          <w:bCs/>
        </w:rPr>
      </w:pPr>
      <w:r>
        <w:rPr>
          <w:rFonts w:ascii="Times" w:hAnsi="Times"/>
          <w:b/>
          <w:bCs/>
        </w:rPr>
        <w:t>Appendix D-7:  Administrative Services Fund Budget</w:t>
      </w:r>
    </w:p>
    <w:p w14:paraId="5AF1E3D3" w14:textId="77777777" w:rsidR="0013535E" w:rsidRDefault="0013535E" w:rsidP="00C253B8">
      <w:pPr>
        <w:jc w:val="center"/>
        <w:rPr>
          <w:rFonts w:ascii="Times" w:hAnsi="Times"/>
          <w:b/>
          <w:bCs/>
        </w:rPr>
      </w:pPr>
    </w:p>
    <w:p w14:paraId="77F804D6" w14:textId="3725B415" w:rsidR="00A02530" w:rsidRDefault="0013535E" w:rsidP="00C253B8">
      <w:pPr>
        <w:jc w:val="center"/>
        <w:rPr>
          <w:rFonts w:ascii="Times" w:hAnsi="Times"/>
          <w:b/>
          <w:bCs/>
        </w:rPr>
      </w:pPr>
      <w:r w:rsidRPr="0013535E">
        <w:rPr>
          <w:noProof/>
        </w:rPr>
        <w:drawing>
          <wp:inline distT="0" distB="0" distL="0" distR="0" wp14:anchorId="32AA2888" wp14:editId="7D0CFAA1">
            <wp:extent cx="5943600" cy="703961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7039610"/>
                    </a:xfrm>
                    <a:prstGeom prst="rect">
                      <a:avLst/>
                    </a:prstGeom>
                    <a:noFill/>
                    <a:ln>
                      <a:noFill/>
                    </a:ln>
                  </pic:spPr>
                </pic:pic>
              </a:graphicData>
            </a:graphic>
          </wp:inline>
        </w:drawing>
      </w:r>
    </w:p>
    <w:p w14:paraId="3C7A6C03" w14:textId="3F8E7586" w:rsidR="00D023F5" w:rsidRDefault="00D023F5" w:rsidP="00C253B8">
      <w:pPr>
        <w:jc w:val="center"/>
        <w:rPr>
          <w:rFonts w:ascii="Times" w:hAnsi="Times"/>
          <w:b/>
          <w:bCs/>
        </w:rPr>
      </w:pPr>
    </w:p>
    <w:p w14:paraId="573F65A1" w14:textId="362AA40F" w:rsidR="00D023F5" w:rsidRDefault="00D023F5" w:rsidP="00C253B8">
      <w:pPr>
        <w:jc w:val="center"/>
        <w:rPr>
          <w:rFonts w:ascii="Times" w:hAnsi="Times"/>
          <w:b/>
          <w:bCs/>
        </w:rPr>
      </w:pPr>
    </w:p>
    <w:p w14:paraId="1CE4B3BC" w14:textId="3C34754E" w:rsidR="00D023F5" w:rsidRDefault="00D023F5" w:rsidP="00C253B8">
      <w:pPr>
        <w:jc w:val="center"/>
        <w:rPr>
          <w:rFonts w:ascii="Times" w:hAnsi="Times"/>
          <w:b/>
          <w:bCs/>
        </w:rPr>
      </w:pPr>
    </w:p>
    <w:p w14:paraId="438513DE" w14:textId="77777777" w:rsidR="00215B54" w:rsidRDefault="00215B54" w:rsidP="00C253B8">
      <w:pPr>
        <w:jc w:val="center"/>
        <w:rPr>
          <w:rFonts w:ascii="Times" w:hAnsi="Times"/>
          <w:b/>
          <w:bCs/>
        </w:rPr>
      </w:pPr>
    </w:p>
    <w:p w14:paraId="212DD093" w14:textId="1941BE20" w:rsidR="00D023F5" w:rsidRDefault="00D023F5" w:rsidP="00C253B8">
      <w:pPr>
        <w:jc w:val="center"/>
        <w:rPr>
          <w:rFonts w:ascii="Times" w:hAnsi="Times"/>
          <w:b/>
          <w:bCs/>
        </w:rPr>
      </w:pPr>
    </w:p>
    <w:p w14:paraId="62AFB0FE" w14:textId="77777777" w:rsidR="00184916" w:rsidRDefault="00184916" w:rsidP="00C253B8">
      <w:pPr>
        <w:jc w:val="center"/>
        <w:rPr>
          <w:rFonts w:ascii="Times" w:hAnsi="Times"/>
          <w:b/>
          <w:bCs/>
        </w:rPr>
      </w:pPr>
      <w:r>
        <w:rPr>
          <w:rFonts w:ascii="Times" w:hAnsi="Times"/>
          <w:b/>
          <w:bCs/>
        </w:rPr>
        <w:t xml:space="preserve">Administrative Services Fund </w:t>
      </w:r>
    </w:p>
    <w:p w14:paraId="0925F58A" w14:textId="77777777" w:rsidR="00184916" w:rsidRDefault="00184916" w:rsidP="00184916">
      <w:pPr>
        <w:jc w:val="center"/>
        <w:rPr>
          <w:b/>
        </w:rPr>
      </w:pPr>
      <w:r>
        <w:rPr>
          <w:b/>
        </w:rPr>
        <w:t>Proposed Capital Project List</w:t>
      </w:r>
    </w:p>
    <w:p w14:paraId="5F8241CA" w14:textId="2322D2ED" w:rsidR="00184916" w:rsidRDefault="00184916" w:rsidP="00C253B8">
      <w:pPr>
        <w:jc w:val="center"/>
        <w:rPr>
          <w:rFonts w:ascii="Times" w:hAnsi="Times"/>
          <w:b/>
          <w:bCs/>
        </w:rPr>
      </w:pPr>
    </w:p>
    <w:tbl>
      <w:tblPr>
        <w:tblStyle w:val="GridTable4-Accent1"/>
        <w:tblW w:w="8992" w:type="dxa"/>
        <w:tblLook w:val="04A0" w:firstRow="1" w:lastRow="0" w:firstColumn="1" w:lastColumn="0" w:noHBand="0" w:noVBand="1"/>
      </w:tblPr>
      <w:tblGrid>
        <w:gridCol w:w="4649"/>
        <w:gridCol w:w="1057"/>
        <w:gridCol w:w="1057"/>
        <w:gridCol w:w="1396"/>
        <w:gridCol w:w="833"/>
      </w:tblGrid>
      <w:tr w:rsidR="00A522C4" w:rsidRPr="00A522C4" w14:paraId="0A90F922" w14:textId="77777777" w:rsidTr="00A522C4">
        <w:trPr>
          <w:cnfStyle w:val="100000000000" w:firstRow="1" w:lastRow="0" w:firstColumn="0" w:lastColumn="0" w:oddVBand="0" w:evenVBand="0" w:oddHBand="0"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4649" w:type="dxa"/>
            <w:vAlign w:val="center"/>
            <w:hideMark/>
          </w:tcPr>
          <w:p w14:paraId="5DC0705A" w14:textId="77777777" w:rsidR="00184916" w:rsidRPr="00A522C4" w:rsidRDefault="00184916" w:rsidP="00A522C4">
            <w:pPr>
              <w:jc w:val="center"/>
              <w:rPr>
                <w:b w:val="0"/>
                <w:bCs w:val="0"/>
                <w:color w:val="auto"/>
                <w:sz w:val="22"/>
              </w:rPr>
            </w:pPr>
            <w:r w:rsidRPr="00A522C4">
              <w:rPr>
                <w:color w:val="auto"/>
                <w:sz w:val="22"/>
              </w:rPr>
              <w:t>Major Projects ($Millions)</w:t>
            </w:r>
          </w:p>
        </w:tc>
        <w:tc>
          <w:tcPr>
            <w:tcW w:w="1057" w:type="dxa"/>
            <w:vAlign w:val="center"/>
            <w:hideMark/>
          </w:tcPr>
          <w:p w14:paraId="3AA31512" w14:textId="77777777" w:rsidR="00184916" w:rsidRPr="00A522C4" w:rsidRDefault="00184916" w:rsidP="00A522C4">
            <w:pPr>
              <w:jc w:val="center"/>
              <w:cnfStyle w:val="100000000000" w:firstRow="1" w:lastRow="0" w:firstColumn="0" w:lastColumn="0" w:oddVBand="0" w:evenVBand="0" w:oddHBand="0" w:evenHBand="0" w:firstRowFirstColumn="0" w:firstRowLastColumn="0" w:lastRowFirstColumn="0" w:lastRowLastColumn="0"/>
              <w:rPr>
                <w:b w:val="0"/>
                <w:bCs w:val="0"/>
                <w:color w:val="auto"/>
                <w:sz w:val="22"/>
              </w:rPr>
            </w:pPr>
            <w:r w:rsidRPr="00A522C4">
              <w:rPr>
                <w:color w:val="auto"/>
                <w:sz w:val="22"/>
              </w:rPr>
              <w:t>FY 2019/20</w:t>
            </w:r>
          </w:p>
        </w:tc>
        <w:tc>
          <w:tcPr>
            <w:tcW w:w="1057" w:type="dxa"/>
            <w:vAlign w:val="center"/>
            <w:hideMark/>
          </w:tcPr>
          <w:p w14:paraId="1D6C2E5B" w14:textId="77777777" w:rsidR="00184916" w:rsidRPr="00A522C4" w:rsidRDefault="00184916" w:rsidP="00A522C4">
            <w:pPr>
              <w:jc w:val="center"/>
              <w:cnfStyle w:val="100000000000" w:firstRow="1" w:lastRow="0" w:firstColumn="0" w:lastColumn="0" w:oddVBand="0" w:evenVBand="0" w:oddHBand="0" w:evenHBand="0" w:firstRowFirstColumn="0" w:firstRowLastColumn="0" w:lastRowFirstColumn="0" w:lastRowLastColumn="0"/>
              <w:rPr>
                <w:b w:val="0"/>
                <w:bCs w:val="0"/>
                <w:color w:val="auto"/>
                <w:sz w:val="22"/>
              </w:rPr>
            </w:pPr>
            <w:r w:rsidRPr="00A522C4">
              <w:rPr>
                <w:color w:val="auto"/>
                <w:sz w:val="22"/>
              </w:rPr>
              <w:t>FY 2020/21</w:t>
            </w:r>
          </w:p>
        </w:tc>
        <w:tc>
          <w:tcPr>
            <w:tcW w:w="1396" w:type="dxa"/>
            <w:vAlign w:val="center"/>
            <w:hideMark/>
          </w:tcPr>
          <w:p w14:paraId="5A3B123A" w14:textId="77777777" w:rsidR="00184916" w:rsidRPr="00A522C4" w:rsidRDefault="00184916" w:rsidP="00A522C4">
            <w:pPr>
              <w:jc w:val="center"/>
              <w:cnfStyle w:val="100000000000" w:firstRow="1" w:lastRow="0" w:firstColumn="0" w:lastColumn="0" w:oddVBand="0" w:evenVBand="0" w:oddHBand="0" w:evenHBand="0" w:firstRowFirstColumn="0" w:firstRowLastColumn="0" w:lastRowFirstColumn="0" w:lastRowLastColumn="0"/>
              <w:rPr>
                <w:b w:val="0"/>
                <w:bCs w:val="0"/>
                <w:color w:val="auto"/>
                <w:sz w:val="22"/>
              </w:rPr>
            </w:pPr>
            <w:r w:rsidRPr="00A522C4">
              <w:rPr>
                <w:color w:val="auto"/>
                <w:sz w:val="22"/>
              </w:rPr>
              <w:t>FY 2021/22 to FY 2023/24</w:t>
            </w:r>
          </w:p>
        </w:tc>
        <w:tc>
          <w:tcPr>
            <w:tcW w:w="833" w:type="dxa"/>
            <w:vAlign w:val="center"/>
            <w:hideMark/>
          </w:tcPr>
          <w:p w14:paraId="58E46A0C" w14:textId="77777777" w:rsidR="00184916" w:rsidRDefault="00184916" w:rsidP="00A522C4">
            <w:pPr>
              <w:jc w:val="center"/>
              <w:cnfStyle w:val="100000000000" w:firstRow="1" w:lastRow="0" w:firstColumn="0" w:lastColumn="0" w:oddVBand="0" w:evenVBand="0" w:oddHBand="0" w:evenHBand="0" w:firstRowFirstColumn="0" w:firstRowLastColumn="0" w:lastRowFirstColumn="0" w:lastRowLastColumn="0"/>
              <w:rPr>
                <w:b w:val="0"/>
                <w:bCs w:val="0"/>
                <w:sz w:val="22"/>
              </w:rPr>
            </w:pPr>
            <w:r w:rsidRPr="00A522C4">
              <w:rPr>
                <w:color w:val="auto"/>
                <w:sz w:val="22"/>
              </w:rPr>
              <w:t>TYCIP</w:t>
            </w:r>
          </w:p>
          <w:p w14:paraId="27372B9D" w14:textId="43641B3D" w:rsidR="00A522C4" w:rsidRPr="00A522C4" w:rsidRDefault="00A522C4" w:rsidP="00A522C4">
            <w:pPr>
              <w:jc w:val="center"/>
              <w:cnfStyle w:val="100000000000" w:firstRow="1" w:lastRow="0" w:firstColumn="0" w:lastColumn="0" w:oddVBand="0" w:evenVBand="0" w:oddHBand="0" w:evenHBand="0" w:firstRowFirstColumn="0" w:firstRowLastColumn="0" w:lastRowFirstColumn="0" w:lastRowLastColumn="0"/>
              <w:rPr>
                <w:b w:val="0"/>
                <w:bCs w:val="0"/>
                <w:color w:val="auto"/>
                <w:sz w:val="22"/>
              </w:rPr>
            </w:pPr>
            <w:r>
              <w:rPr>
                <w:color w:val="auto"/>
                <w:sz w:val="22"/>
              </w:rPr>
              <w:t>Total</w:t>
            </w:r>
          </w:p>
        </w:tc>
      </w:tr>
      <w:tr w:rsidR="00A522C4" w:rsidRPr="00A522C4" w14:paraId="0C0132DB" w14:textId="77777777" w:rsidTr="00A522C4">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4649" w:type="dxa"/>
            <w:hideMark/>
          </w:tcPr>
          <w:p w14:paraId="69E95711" w14:textId="77777777" w:rsidR="00184916" w:rsidRPr="00A522C4" w:rsidRDefault="00184916" w:rsidP="00184916">
            <w:pPr>
              <w:rPr>
                <w:b w:val="0"/>
                <w:bCs w:val="0"/>
                <w:sz w:val="20"/>
                <w:szCs w:val="20"/>
              </w:rPr>
            </w:pPr>
            <w:r w:rsidRPr="00A522C4">
              <w:rPr>
                <w:b w:val="0"/>
                <w:sz w:val="20"/>
                <w:szCs w:val="20"/>
              </w:rPr>
              <w:t>Agency-wide Vehicle Replacement</w:t>
            </w:r>
          </w:p>
        </w:tc>
        <w:tc>
          <w:tcPr>
            <w:tcW w:w="1057" w:type="dxa"/>
            <w:hideMark/>
          </w:tcPr>
          <w:p w14:paraId="37BE2967" w14:textId="77777777" w:rsidR="00184916" w:rsidRPr="00A522C4" w:rsidRDefault="00184916" w:rsidP="00184916">
            <w:pPr>
              <w:jc w:val="center"/>
              <w:cnfStyle w:val="000000100000" w:firstRow="0" w:lastRow="0" w:firstColumn="0" w:lastColumn="0" w:oddVBand="0" w:evenVBand="0" w:oddHBand="1" w:evenHBand="0" w:firstRowFirstColumn="0" w:firstRowLastColumn="0" w:lastRowFirstColumn="0" w:lastRowLastColumn="0"/>
              <w:rPr>
                <w:sz w:val="20"/>
                <w:szCs w:val="20"/>
              </w:rPr>
            </w:pPr>
            <w:r w:rsidRPr="00A522C4">
              <w:rPr>
                <w:sz w:val="20"/>
                <w:szCs w:val="20"/>
              </w:rPr>
              <w:t xml:space="preserve">$0.50 </w:t>
            </w:r>
          </w:p>
        </w:tc>
        <w:tc>
          <w:tcPr>
            <w:tcW w:w="1057" w:type="dxa"/>
            <w:hideMark/>
          </w:tcPr>
          <w:p w14:paraId="1547226C" w14:textId="77777777" w:rsidR="00184916" w:rsidRPr="00A522C4" w:rsidRDefault="00184916" w:rsidP="00184916">
            <w:pPr>
              <w:jc w:val="center"/>
              <w:cnfStyle w:val="000000100000" w:firstRow="0" w:lastRow="0" w:firstColumn="0" w:lastColumn="0" w:oddVBand="0" w:evenVBand="0" w:oddHBand="1" w:evenHBand="0" w:firstRowFirstColumn="0" w:firstRowLastColumn="0" w:lastRowFirstColumn="0" w:lastRowLastColumn="0"/>
              <w:rPr>
                <w:sz w:val="20"/>
                <w:szCs w:val="20"/>
              </w:rPr>
            </w:pPr>
            <w:r w:rsidRPr="00A522C4">
              <w:rPr>
                <w:sz w:val="20"/>
                <w:szCs w:val="20"/>
              </w:rPr>
              <w:t xml:space="preserve">$0.30 </w:t>
            </w:r>
          </w:p>
        </w:tc>
        <w:tc>
          <w:tcPr>
            <w:tcW w:w="1396" w:type="dxa"/>
            <w:hideMark/>
          </w:tcPr>
          <w:p w14:paraId="65004014" w14:textId="77777777" w:rsidR="00184916" w:rsidRPr="00A522C4" w:rsidRDefault="00184916" w:rsidP="00184916">
            <w:pPr>
              <w:jc w:val="center"/>
              <w:cnfStyle w:val="000000100000" w:firstRow="0" w:lastRow="0" w:firstColumn="0" w:lastColumn="0" w:oddVBand="0" w:evenVBand="0" w:oddHBand="1" w:evenHBand="0" w:firstRowFirstColumn="0" w:firstRowLastColumn="0" w:lastRowFirstColumn="0" w:lastRowLastColumn="0"/>
              <w:rPr>
                <w:sz w:val="20"/>
                <w:szCs w:val="20"/>
              </w:rPr>
            </w:pPr>
            <w:r w:rsidRPr="00A522C4">
              <w:rPr>
                <w:sz w:val="20"/>
                <w:szCs w:val="20"/>
              </w:rPr>
              <w:t xml:space="preserve">$1.00 </w:t>
            </w:r>
          </w:p>
        </w:tc>
        <w:tc>
          <w:tcPr>
            <w:tcW w:w="833" w:type="dxa"/>
            <w:hideMark/>
          </w:tcPr>
          <w:p w14:paraId="55A73DF8" w14:textId="77777777" w:rsidR="00184916" w:rsidRPr="00A522C4" w:rsidRDefault="00184916" w:rsidP="00184916">
            <w:pPr>
              <w:jc w:val="center"/>
              <w:cnfStyle w:val="000000100000" w:firstRow="0" w:lastRow="0" w:firstColumn="0" w:lastColumn="0" w:oddVBand="0" w:evenVBand="0" w:oddHBand="1" w:evenHBand="0" w:firstRowFirstColumn="0" w:firstRowLastColumn="0" w:lastRowFirstColumn="0" w:lastRowLastColumn="0"/>
              <w:rPr>
                <w:sz w:val="20"/>
                <w:szCs w:val="20"/>
              </w:rPr>
            </w:pPr>
            <w:r w:rsidRPr="00A522C4">
              <w:rPr>
                <w:sz w:val="20"/>
                <w:szCs w:val="20"/>
              </w:rPr>
              <w:t xml:space="preserve">$3.50 </w:t>
            </w:r>
          </w:p>
        </w:tc>
      </w:tr>
      <w:tr w:rsidR="00A522C4" w:rsidRPr="00A522C4" w14:paraId="1404E7DE" w14:textId="77777777" w:rsidTr="00A522C4">
        <w:trPr>
          <w:trHeight w:val="297"/>
        </w:trPr>
        <w:tc>
          <w:tcPr>
            <w:cnfStyle w:val="001000000000" w:firstRow="0" w:lastRow="0" w:firstColumn="1" w:lastColumn="0" w:oddVBand="0" w:evenVBand="0" w:oddHBand="0" w:evenHBand="0" w:firstRowFirstColumn="0" w:firstRowLastColumn="0" w:lastRowFirstColumn="0" w:lastRowLastColumn="0"/>
            <w:tcW w:w="4649" w:type="dxa"/>
            <w:hideMark/>
          </w:tcPr>
          <w:p w14:paraId="2508B448" w14:textId="77777777" w:rsidR="00184916" w:rsidRPr="00A522C4" w:rsidRDefault="00184916" w:rsidP="00184916">
            <w:pPr>
              <w:rPr>
                <w:b w:val="0"/>
                <w:bCs w:val="0"/>
                <w:sz w:val="20"/>
                <w:szCs w:val="20"/>
              </w:rPr>
            </w:pPr>
            <w:r w:rsidRPr="00A522C4">
              <w:rPr>
                <w:b w:val="0"/>
                <w:sz w:val="20"/>
                <w:szCs w:val="20"/>
              </w:rPr>
              <w:t>Agency SCADA</w:t>
            </w:r>
            <w:r w:rsidRPr="00A522C4">
              <w:rPr>
                <w:b w:val="0"/>
                <w:sz w:val="20"/>
                <w:szCs w:val="20"/>
                <w:vertAlign w:val="superscript"/>
              </w:rPr>
              <w:t>1</w:t>
            </w:r>
            <w:r w:rsidRPr="00A522C4">
              <w:rPr>
                <w:b w:val="0"/>
                <w:sz w:val="20"/>
                <w:szCs w:val="20"/>
              </w:rPr>
              <w:t xml:space="preserve"> Integration with SAP</w:t>
            </w:r>
          </w:p>
        </w:tc>
        <w:tc>
          <w:tcPr>
            <w:tcW w:w="1057" w:type="dxa"/>
            <w:hideMark/>
          </w:tcPr>
          <w:p w14:paraId="59F8F4E3" w14:textId="77777777" w:rsidR="00184916" w:rsidRPr="00A522C4" w:rsidRDefault="00184916" w:rsidP="0018491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522C4">
              <w:rPr>
                <w:sz w:val="20"/>
                <w:szCs w:val="20"/>
              </w:rPr>
              <w:t>0.3</w:t>
            </w:r>
          </w:p>
        </w:tc>
        <w:tc>
          <w:tcPr>
            <w:tcW w:w="1057" w:type="dxa"/>
            <w:hideMark/>
          </w:tcPr>
          <w:p w14:paraId="3ED79449" w14:textId="77777777" w:rsidR="00184916" w:rsidRPr="00A522C4" w:rsidRDefault="00184916" w:rsidP="0018491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522C4">
              <w:rPr>
                <w:sz w:val="20"/>
                <w:szCs w:val="20"/>
              </w:rPr>
              <w:t>0.2</w:t>
            </w:r>
          </w:p>
        </w:tc>
        <w:tc>
          <w:tcPr>
            <w:tcW w:w="1396" w:type="dxa"/>
            <w:hideMark/>
          </w:tcPr>
          <w:p w14:paraId="6F609CF8" w14:textId="77777777" w:rsidR="00184916" w:rsidRPr="00A522C4" w:rsidRDefault="00184916" w:rsidP="0018491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522C4">
              <w:rPr>
                <w:sz w:val="20"/>
                <w:szCs w:val="20"/>
              </w:rPr>
              <w:t> </w:t>
            </w:r>
          </w:p>
        </w:tc>
        <w:tc>
          <w:tcPr>
            <w:tcW w:w="833" w:type="dxa"/>
            <w:hideMark/>
          </w:tcPr>
          <w:p w14:paraId="6872B7DF" w14:textId="77777777" w:rsidR="00184916" w:rsidRPr="00A522C4" w:rsidRDefault="00184916" w:rsidP="0018491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522C4">
              <w:rPr>
                <w:sz w:val="20"/>
                <w:szCs w:val="20"/>
              </w:rPr>
              <w:t>0.5</w:t>
            </w:r>
          </w:p>
        </w:tc>
      </w:tr>
      <w:tr w:rsidR="00A522C4" w:rsidRPr="00A522C4" w14:paraId="7A428ACB" w14:textId="77777777" w:rsidTr="00A522C4">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4649" w:type="dxa"/>
            <w:hideMark/>
          </w:tcPr>
          <w:p w14:paraId="1B3FDACF" w14:textId="77777777" w:rsidR="00184916" w:rsidRPr="00A522C4" w:rsidRDefault="00184916" w:rsidP="00184916">
            <w:pPr>
              <w:rPr>
                <w:b w:val="0"/>
                <w:bCs w:val="0"/>
                <w:sz w:val="20"/>
                <w:szCs w:val="20"/>
              </w:rPr>
            </w:pPr>
            <w:r w:rsidRPr="00A522C4">
              <w:rPr>
                <w:b w:val="0"/>
                <w:sz w:val="20"/>
                <w:szCs w:val="20"/>
              </w:rPr>
              <w:t>Headquarters Campus Driveway Improvements</w:t>
            </w:r>
          </w:p>
        </w:tc>
        <w:tc>
          <w:tcPr>
            <w:tcW w:w="1057" w:type="dxa"/>
            <w:hideMark/>
          </w:tcPr>
          <w:p w14:paraId="7BBA02A6" w14:textId="77777777" w:rsidR="00184916" w:rsidRPr="00A522C4" w:rsidRDefault="00184916" w:rsidP="00184916">
            <w:pPr>
              <w:jc w:val="center"/>
              <w:cnfStyle w:val="000000100000" w:firstRow="0" w:lastRow="0" w:firstColumn="0" w:lastColumn="0" w:oddVBand="0" w:evenVBand="0" w:oddHBand="1" w:evenHBand="0" w:firstRowFirstColumn="0" w:firstRowLastColumn="0" w:lastRowFirstColumn="0" w:lastRowLastColumn="0"/>
              <w:rPr>
                <w:sz w:val="20"/>
                <w:szCs w:val="20"/>
              </w:rPr>
            </w:pPr>
            <w:r w:rsidRPr="00A522C4">
              <w:rPr>
                <w:sz w:val="20"/>
                <w:szCs w:val="20"/>
              </w:rPr>
              <w:t>0.4</w:t>
            </w:r>
          </w:p>
        </w:tc>
        <w:tc>
          <w:tcPr>
            <w:tcW w:w="1057" w:type="dxa"/>
            <w:hideMark/>
          </w:tcPr>
          <w:p w14:paraId="2A049723" w14:textId="77777777" w:rsidR="00184916" w:rsidRPr="00A522C4" w:rsidRDefault="00184916" w:rsidP="00184916">
            <w:pPr>
              <w:jc w:val="center"/>
              <w:cnfStyle w:val="000000100000" w:firstRow="0" w:lastRow="0" w:firstColumn="0" w:lastColumn="0" w:oddVBand="0" w:evenVBand="0" w:oddHBand="1" w:evenHBand="0" w:firstRowFirstColumn="0" w:firstRowLastColumn="0" w:lastRowFirstColumn="0" w:lastRowLastColumn="0"/>
              <w:rPr>
                <w:sz w:val="20"/>
                <w:szCs w:val="20"/>
              </w:rPr>
            </w:pPr>
            <w:r w:rsidRPr="00A522C4">
              <w:rPr>
                <w:sz w:val="20"/>
                <w:szCs w:val="20"/>
              </w:rPr>
              <w:t> </w:t>
            </w:r>
          </w:p>
        </w:tc>
        <w:tc>
          <w:tcPr>
            <w:tcW w:w="1396" w:type="dxa"/>
            <w:hideMark/>
          </w:tcPr>
          <w:p w14:paraId="0D26E4DF" w14:textId="77777777" w:rsidR="00184916" w:rsidRPr="00A522C4" w:rsidRDefault="00184916" w:rsidP="00184916">
            <w:pPr>
              <w:jc w:val="center"/>
              <w:cnfStyle w:val="000000100000" w:firstRow="0" w:lastRow="0" w:firstColumn="0" w:lastColumn="0" w:oddVBand="0" w:evenVBand="0" w:oddHBand="1" w:evenHBand="0" w:firstRowFirstColumn="0" w:firstRowLastColumn="0" w:lastRowFirstColumn="0" w:lastRowLastColumn="0"/>
              <w:rPr>
                <w:sz w:val="20"/>
                <w:szCs w:val="20"/>
              </w:rPr>
            </w:pPr>
            <w:r w:rsidRPr="00A522C4">
              <w:rPr>
                <w:sz w:val="20"/>
                <w:szCs w:val="20"/>
              </w:rPr>
              <w:t> </w:t>
            </w:r>
          </w:p>
        </w:tc>
        <w:tc>
          <w:tcPr>
            <w:tcW w:w="833" w:type="dxa"/>
            <w:hideMark/>
          </w:tcPr>
          <w:p w14:paraId="2826F99C" w14:textId="77777777" w:rsidR="00184916" w:rsidRPr="00A522C4" w:rsidRDefault="00184916" w:rsidP="00184916">
            <w:pPr>
              <w:jc w:val="center"/>
              <w:cnfStyle w:val="000000100000" w:firstRow="0" w:lastRow="0" w:firstColumn="0" w:lastColumn="0" w:oddVBand="0" w:evenVBand="0" w:oddHBand="1" w:evenHBand="0" w:firstRowFirstColumn="0" w:firstRowLastColumn="0" w:lastRowFirstColumn="0" w:lastRowLastColumn="0"/>
              <w:rPr>
                <w:sz w:val="20"/>
                <w:szCs w:val="20"/>
              </w:rPr>
            </w:pPr>
            <w:r w:rsidRPr="00A522C4">
              <w:rPr>
                <w:sz w:val="20"/>
                <w:szCs w:val="20"/>
              </w:rPr>
              <w:t>0.4</w:t>
            </w:r>
          </w:p>
        </w:tc>
      </w:tr>
      <w:tr w:rsidR="00A522C4" w:rsidRPr="00A522C4" w14:paraId="24D4A423" w14:textId="77777777" w:rsidTr="00A522C4">
        <w:trPr>
          <w:trHeight w:val="297"/>
        </w:trPr>
        <w:tc>
          <w:tcPr>
            <w:cnfStyle w:val="001000000000" w:firstRow="0" w:lastRow="0" w:firstColumn="1" w:lastColumn="0" w:oddVBand="0" w:evenVBand="0" w:oddHBand="0" w:evenHBand="0" w:firstRowFirstColumn="0" w:firstRowLastColumn="0" w:lastRowFirstColumn="0" w:lastRowLastColumn="0"/>
            <w:tcW w:w="4649" w:type="dxa"/>
            <w:hideMark/>
          </w:tcPr>
          <w:p w14:paraId="65D385A1" w14:textId="77777777" w:rsidR="00184916" w:rsidRPr="00A522C4" w:rsidRDefault="00184916" w:rsidP="00184916">
            <w:pPr>
              <w:rPr>
                <w:b w:val="0"/>
                <w:bCs w:val="0"/>
                <w:sz w:val="20"/>
                <w:szCs w:val="20"/>
              </w:rPr>
            </w:pPr>
            <w:r w:rsidRPr="00A522C4">
              <w:rPr>
                <w:b w:val="0"/>
                <w:sz w:val="20"/>
                <w:szCs w:val="20"/>
              </w:rPr>
              <w:t>BizNet Infrastructure Replacement Project</w:t>
            </w:r>
          </w:p>
        </w:tc>
        <w:tc>
          <w:tcPr>
            <w:tcW w:w="1057" w:type="dxa"/>
            <w:hideMark/>
          </w:tcPr>
          <w:p w14:paraId="7EBA634D" w14:textId="77777777" w:rsidR="00184916" w:rsidRPr="00A522C4" w:rsidRDefault="00184916" w:rsidP="0018491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522C4">
              <w:rPr>
                <w:sz w:val="20"/>
                <w:szCs w:val="20"/>
              </w:rPr>
              <w:t>0.3</w:t>
            </w:r>
          </w:p>
        </w:tc>
        <w:tc>
          <w:tcPr>
            <w:tcW w:w="1057" w:type="dxa"/>
            <w:hideMark/>
          </w:tcPr>
          <w:p w14:paraId="4F807DCD" w14:textId="77777777" w:rsidR="00184916" w:rsidRPr="00A522C4" w:rsidRDefault="00184916" w:rsidP="0018491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522C4">
              <w:rPr>
                <w:sz w:val="20"/>
                <w:szCs w:val="20"/>
              </w:rPr>
              <w:t>0.1</w:t>
            </w:r>
          </w:p>
        </w:tc>
        <w:tc>
          <w:tcPr>
            <w:tcW w:w="1396" w:type="dxa"/>
            <w:hideMark/>
          </w:tcPr>
          <w:p w14:paraId="0F6712FE" w14:textId="77777777" w:rsidR="00184916" w:rsidRPr="00A522C4" w:rsidRDefault="00184916" w:rsidP="0018491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522C4">
              <w:rPr>
                <w:sz w:val="20"/>
                <w:szCs w:val="20"/>
              </w:rPr>
              <w:t> </w:t>
            </w:r>
          </w:p>
        </w:tc>
        <w:tc>
          <w:tcPr>
            <w:tcW w:w="833" w:type="dxa"/>
            <w:hideMark/>
          </w:tcPr>
          <w:p w14:paraId="005054DF" w14:textId="77777777" w:rsidR="00184916" w:rsidRPr="00A522C4" w:rsidRDefault="00184916" w:rsidP="0018491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522C4">
              <w:rPr>
                <w:sz w:val="20"/>
                <w:szCs w:val="20"/>
              </w:rPr>
              <w:t>0.4</w:t>
            </w:r>
          </w:p>
        </w:tc>
      </w:tr>
      <w:tr w:rsidR="00A522C4" w:rsidRPr="00A522C4" w14:paraId="1BF780B3" w14:textId="77777777" w:rsidTr="00A522C4">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4649" w:type="dxa"/>
            <w:hideMark/>
          </w:tcPr>
          <w:p w14:paraId="0CA9A43E" w14:textId="77777777" w:rsidR="00184916" w:rsidRPr="00A522C4" w:rsidRDefault="00184916" w:rsidP="00184916">
            <w:pPr>
              <w:rPr>
                <w:b w:val="0"/>
                <w:bCs w:val="0"/>
                <w:sz w:val="20"/>
                <w:szCs w:val="20"/>
              </w:rPr>
            </w:pPr>
            <w:r w:rsidRPr="00A522C4">
              <w:rPr>
                <w:b w:val="0"/>
                <w:sz w:val="20"/>
                <w:szCs w:val="20"/>
              </w:rPr>
              <w:t>ICP</w:t>
            </w:r>
            <w:r w:rsidRPr="00A522C4">
              <w:rPr>
                <w:b w:val="0"/>
                <w:sz w:val="20"/>
                <w:szCs w:val="20"/>
                <w:vertAlign w:val="superscript"/>
              </w:rPr>
              <w:t>2</w:t>
            </w:r>
            <w:r w:rsidRPr="00A522C4">
              <w:rPr>
                <w:b w:val="0"/>
                <w:sz w:val="20"/>
                <w:szCs w:val="20"/>
              </w:rPr>
              <w:t xml:space="preserve"> Instrument</w:t>
            </w:r>
          </w:p>
        </w:tc>
        <w:tc>
          <w:tcPr>
            <w:tcW w:w="1057" w:type="dxa"/>
            <w:hideMark/>
          </w:tcPr>
          <w:p w14:paraId="630E91FF" w14:textId="77777777" w:rsidR="00184916" w:rsidRPr="00A522C4" w:rsidRDefault="00184916" w:rsidP="00184916">
            <w:pPr>
              <w:jc w:val="center"/>
              <w:cnfStyle w:val="000000100000" w:firstRow="0" w:lastRow="0" w:firstColumn="0" w:lastColumn="0" w:oddVBand="0" w:evenVBand="0" w:oddHBand="1" w:evenHBand="0" w:firstRowFirstColumn="0" w:firstRowLastColumn="0" w:lastRowFirstColumn="0" w:lastRowLastColumn="0"/>
              <w:rPr>
                <w:sz w:val="20"/>
                <w:szCs w:val="20"/>
              </w:rPr>
            </w:pPr>
            <w:r w:rsidRPr="00A522C4">
              <w:rPr>
                <w:sz w:val="20"/>
                <w:szCs w:val="20"/>
              </w:rPr>
              <w:t>0.2</w:t>
            </w:r>
          </w:p>
        </w:tc>
        <w:tc>
          <w:tcPr>
            <w:tcW w:w="1057" w:type="dxa"/>
            <w:hideMark/>
          </w:tcPr>
          <w:p w14:paraId="4103DBAC" w14:textId="77777777" w:rsidR="00184916" w:rsidRPr="00A522C4" w:rsidRDefault="00184916" w:rsidP="00184916">
            <w:pPr>
              <w:jc w:val="center"/>
              <w:cnfStyle w:val="000000100000" w:firstRow="0" w:lastRow="0" w:firstColumn="0" w:lastColumn="0" w:oddVBand="0" w:evenVBand="0" w:oddHBand="1" w:evenHBand="0" w:firstRowFirstColumn="0" w:firstRowLastColumn="0" w:lastRowFirstColumn="0" w:lastRowLastColumn="0"/>
              <w:rPr>
                <w:sz w:val="20"/>
                <w:szCs w:val="20"/>
              </w:rPr>
            </w:pPr>
            <w:r w:rsidRPr="00A522C4">
              <w:rPr>
                <w:sz w:val="20"/>
                <w:szCs w:val="20"/>
              </w:rPr>
              <w:t> </w:t>
            </w:r>
          </w:p>
        </w:tc>
        <w:tc>
          <w:tcPr>
            <w:tcW w:w="1396" w:type="dxa"/>
            <w:hideMark/>
          </w:tcPr>
          <w:p w14:paraId="4C0F2EE0" w14:textId="77777777" w:rsidR="00184916" w:rsidRPr="00A522C4" w:rsidRDefault="00184916" w:rsidP="00184916">
            <w:pPr>
              <w:jc w:val="center"/>
              <w:cnfStyle w:val="000000100000" w:firstRow="0" w:lastRow="0" w:firstColumn="0" w:lastColumn="0" w:oddVBand="0" w:evenVBand="0" w:oddHBand="1" w:evenHBand="0" w:firstRowFirstColumn="0" w:firstRowLastColumn="0" w:lastRowFirstColumn="0" w:lastRowLastColumn="0"/>
              <w:rPr>
                <w:sz w:val="20"/>
                <w:szCs w:val="20"/>
              </w:rPr>
            </w:pPr>
            <w:r w:rsidRPr="00A522C4">
              <w:rPr>
                <w:sz w:val="20"/>
                <w:szCs w:val="20"/>
              </w:rPr>
              <w:t> </w:t>
            </w:r>
          </w:p>
        </w:tc>
        <w:tc>
          <w:tcPr>
            <w:tcW w:w="833" w:type="dxa"/>
            <w:hideMark/>
          </w:tcPr>
          <w:p w14:paraId="7D861599" w14:textId="77777777" w:rsidR="00184916" w:rsidRPr="00A522C4" w:rsidRDefault="00184916" w:rsidP="00184916">
            <w:pPr>
              <w:jc w:val="center"/>
              <w:cnfStyle w:val="000000100000" w:firstRow="0" w:lastRow="0" w:firstColumn="0" w:lastColumn="0" w:oddVBand="0" w:evenVBand="0" w:oddHBand="1" w:evenHBand="0" w:firstRowFirstColumn="0" w:firstRowLastColumn="0" w:lastRowFirstColumn="0" w:lastRowLastColumn="0"/>
              <w:rPr>
                <w:sz w:val="20"/>
                <w:szCs w:val="20"/>
              </w:rPr>
            </w:pPr>
            <w:r w:rsidRPr="00A522C4">
              <w:rPr>
                <w:sz w:val="20"/>
                <w:szCs w:val="20"/>
              </w:rPr>
              <w:t>0.2</w:t>
            </w:r>
          </w:p>
        </w:tc>
      </w:tr>
      <w:tr w:rsidR="00A522C4" w:rsidRPr="00A522C4" w14:paraId="69D07E06" w14:textId="77777777" w:rsidTr="00A522C4">
        <w:trPr>
          <w:trHeight w:val="297"/>
        </w:trPr>
        <w:tc>
          <w:tcPr>
            <w:cnfStyle w:val="001000000000" w:firstRow="0" w:lastRow="0" w:firstColumn="1" w:lastColumn="0" w:oddVBand="0" w:evenVBand="0" w:oddHBand="0" w:evenHBand="0" w:firstRowFirstColumn="0" w:firstRowLastColumn="0" w:lastRowFirstColumn="0" w:lastRowLastColumn="0"/>
            <w:tcW w:w="4649" w:type="dxa"/>
            <w:hideMark/>
          </w:tcPr>
          <w:p w14:paraId="01111F15" w14:textId="77777777" w:rsidR="00184916" w:rsidRPr="00A522C4" w:rsidRDefault="00184916" w:rsidP="00184916">
            <w:pPr>
              <w:rPr>
                <w:b w:val="0"/>
                <w:bCs w:val="0"/>
                <w:sz w:val="20"/>
                <w:szCs w:val="20"/>
              </w:rPr>
            </w:pPr>
            <w:r w:rsidRPr="00A522C4">
              <w:rPr>
                <w:b w:val="0"/>
                <w:sz w:val="20"/>
                <w:szCs w:val="20"/>
              </w:rPr>
              <w:t>All Other Capital Projects</w:t>
            </w:r>
          </w:p>
        </w:tc>
        <w:tc>
          <w:tcPr>
            <w:tcW w:w="1057" w:type="dxa"/>
            <w:hideMark/>
          </w:tcPr>
          <w:p w14:paraId="08E22A1F" w14:textId="77777777" w:rsidR="00184916" w:rsidRPr="00A522C4" w:rsidRDefault="00184916" w:rsidP="0018491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522C4">
              <w:rPr>
                <w:sz w:val="20"/>
                <w:szCs w:val="20"/>
              </w:rPr>
              <w:t>0.6</w:t>
            </w:r>
          </w:p>
        </w:tc>
        <w:tc>
          <w:tcPr>
            <w:tcW w:w="1057" w:type="dxa"/>
            <w:hideMark/>
          </w:tcPr>
          <w:p w14:paraId="6776914C" w14:textId="77777777" w:rsidR="00184916" w:rsidRPr="00A522C4" w:rsidRDefault="00184916" w:rsidP="0018491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522C4">
              <w:rPr>
                <w:sz w:val="20"/>
                <w:szCs w:val="20"/>
              </w:rPr>
              <w:t>0.5</w:t>
            </w:r>
          </w:p>
        </w:tc>
        <w:tc>
          <w:tcPr>
            <w:tcW w:w="1396" w:type="dxa"/>
            <w:hideMark/>
          </w:tcPr>
          <w:p w14:paraId="4AB0F221" w14:textId="77777777" w:rsidR="00184916" w:rsidRPr="00A522C4" w:rsidRDefault="00184916" w:rsidP="0018491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522C4">
              <w:rPr>
                <w:sz w:val="20"/>
                <w:szCs w:val="20"/>
              </w:rPr>
              <w:t>1.3</w:t>
            </w:r>
          </w:p>
        </w:tc>
        <w:tc>
          <w:tcPr>
            <w:tcW w:w="833" w:type="dxa"/>
            <w:hideMark/>
          </w:tcPr>
          <w:p w14:paraId="0145B229" w14:textId="77777777" w:rsidR="00184916" w:rsidRPr="00A522C4" w:rsidRDefault="00184916" w:rsidP="0018491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522C4">
              <w:rPr>
                <w:sz w:val="20"/>
                <w:szCs w:val="20"/>
              </w:rPr>
              <w:t>8.6</w:t>
            </w:r>
          </w:p>
        </w:tc>
      </w:tr>
      <w:tr w:rsidR="00A522C4" w:rsidRPr="00A522C4" w14:paraId="5C2E6BC8" w14:textId="77777777" w:rsidTr="00A522C4">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4649" w:type="dxa"/>
            <w:hideMark/>
          </w:tcPr>
          <w:p w14:paraId="7E7F8FAF" w14:textId="77777777" w:rsidR="00184916" w:rsidRPr="00A522C4" w:rsidRDefault="00184916" w:rsidP="00184916">
            <w:pPr>
              <w:rPr>
                <w:b w:val="0"/>
                <w:bCs w:val="0"/>
                <w:sz w:val="20"/>
                <w:szCs w:val="20"/>
              </w:rPr>
            </w:pPr>
            <w:r w:rsidRPr="00A522C4">
              <w:rPr>
                <w:sz w:val="20"/>
                <w:szCs w:val="20"/>
              </w:rPr>
              <w:t>Total</w:t>
            </w:r>
          </w:p>
        </w:tc>
        <w:tc>
          <w:tcPr>
            <w:tcW w:w="1057" w:type="dxa"/>
            <w:hideMark/>
          </w:tcPr>
          <w:p w14:paraId="7EB81A44" w14:textId="77777777" w:rsidR="00184916" w:rsidRPr="00A522C4" w:rsidRDefault="00184916" w:rsidP="00184916">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A522C4">
              <w:rPr>
                <w:b/>
                <w:bCs/>
                <w:sz w:val="20"/>
                <w:szCs w:val="20"/>
              </w:rPr>
              <w:t xml:space="preserve">$2.30 </w:t>
            </w:r>
          </w:p>
        </w:tc>
        <w:tc>
          <w:tcPr>
            <w:tcW w:w="1057" w:type="dxa"/>
            <w:hideMark/>
          </w:tcPr>
          <w:p w14:paraId="77D49FE8" w14:textId="77777777" w:rsidR="00184916" w:rsidRPr="00A522C4" w:rsidRDefault="00184916" w:rsidP="00184916">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A522C4">
              <w:rPr>
                <w:b/>
                <w:bCs/>
                <w:sz w:val="20"/>
                <w:szCs w:val="20"/>
              </w:rPr>
              <w:t xml:space="preserve">$1.20 </w:t>
            </w:r>
          </w:p>
        </w:tc>
        <w:tc>
          <w:tcPr>
            <w:tcW w:w="1396" w:type="dxa"/>
            <w:hideMark/>
          </w:tcPr>
          <w:p w14:paraId="33077534" w14:textId="77777777" w:rsidR="00184916" w:rsidRPr="00A522C4" w:rsidRDefault="00184916" w:rsidP="00184916">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A522C4">
              <w:rPr>
                <w:b/>
                <w:bCs/>
                <w:sz w:val="20"/>
                <w:szCs w:val="20"/>
              </w:rPr>
              <w:t xml:space="preserve">$2.30 </w:t>
            </w:r>
          </w:p>
        </w:tc>
        <w:tc>
          <w:tcPr>
            <w:tcW w:w="833" w:type="dxa"/>
            <w:hideMark/>
          </w:tcPr>
          <w:p w14:paraId="40281159" w14:textId="77777777" w:rsidR="00184916" w:rsidRPr="00A522C4" w:rsidRDefault="00184916" w:rsidP="00184916">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A522C4">
              <w:rPr>
                <w:b/>
                <w:bCs/>
                <w:sz w:val="20"/>
                <w:szCs w:val="20"/>
              </w:rPr>
              <w:t xml:space="preserve">$13.60 </w:t>
            </w:r>
          </w:p>
        </w:tc>
      </w:tr>
    </w:tbl>
    <w:p w14:paraId="0A02A132" w14:textId="77777777" w:rsidR="00184916" w:rsidRDefault="00184916" w:rsidP="00C253B8">
      <w:pPr>
        <w:jc w:val="center"/>
        <w:rPr>
          <w:rFonts w:ascii="Times" w:hAnsi="Times"/>
          <w:b/>
          <w:bCs/>
        </w:rPr>
      </w:pPr>
    </w:p>
    <w:sectPr w:rsidR="00184916" w:rsidSect="00F43829">
      <w:headerReference w:type="default" r:id="rId22"/>
      <w:headerReference w:type="first" r:id="rId23"/>
      <w:pgSz w:w="12240" w:h="15840"/>
      <w:pgMar w:top="540" w:right="1440" w:bottom="1440" w:left="1440" w:header="5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DF5D7" w14:textId="77777777" w:rsidR="006163A8" w:rsidRDefault="006163A8">
      <w:r>
        <w:separator/>
      </w:r>
    </w:p>
  </w:endnote>
  <w:endnote w:type="continuationSeparator" w:id="0">
    <w:p w14:paraId="1C0B2A74" w14:textId="77777777" w:rsidR="006163A8" w:rsidRDefault="00616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A8968" w14:textId="77777777" w:rsidR="006163A8" w:rsidRDefault="006163A8">
      <w:r>
        <w:separator/>
      </w:r>
    </w:p>
  </w:footnote>
  <w:footnote w:type="continuationSeparator" w:id="0">
    <w:p w14:paraId="50A88C89" w14:textId="77777777" w:rsidR="006163A8" w:rsidRDefault="00616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18EC9D23" w14:textId="77777777" w:rsidR="006163A8" w:rsidRPr="00ED19CC" w:rsidRDefault="006163A8" w:rsidP="00792613">
        <w:pPr>
          <w:pBdr>
            <w:bottom w:val="single" w:sz="12" w:space="1" w:color="auto"/>
          </w:pBdr>
          <w:jc w:val="right"/>
          <w:rPr>
            <w:rFonts w:ascii="Times" w:hAnsi="Times"/>
          </w:rPr>
        </w:pPr>
        <w:r w:rsidRPr="00F43829">
          <w:t xml:space="preserve">Page </w:t>
        </w:r>
        <w:r w:rsidRPr="00F43829">
          <w:rPr>
            <w:bCs/>
            <w:szCs w:val="24"/>
          </w:rPr>
          <w:fldChar w:fldCharType="begin"/>
        </w:r>
        <w:r w:rsidRPr="00F43829">
          <w:rPr>
            <w:bCs/>
          </w:rPr>
          <w:instrText xml:space="preserve"> PAGE </w:instrText>
        </w:r>
        <w:r w:rsidRPr="00F43829">
          <w:rPr>
            <w:bCs/>
            <w:szCs w:val="24"/>
          </w:rPr>
          <w:fldChar w:fldCharType="separate"/>
        </w:r>
        <w:r>
          <w:rPr>
            <w:bCs/>
            <w:noProof/>
          </w:rPr>
          <w:t>2</w:t>
        </w:r>
        <w:r w:rsidRPr="00F43829">
          <w:rPr>
            <w:bCs/>
            <w:szCs w:val="24"/>
          </w:rPr>
          <w:fldChar w:fldCharType="end"/>
        </w:r>
        <w:r w:rsidRPr="00F43829">
          <w:t xml:space="preserve"> of </w:t>
        </w:r>
        <w:r w:rsidRPr="00F43829">
          <w:rPr>
            <w:bCs/>
            <w:szCs w:val="24"/>
          </w:rPr>
          <w:fldChar w:fldCharType="begin"/>
        </w:r>
        <w:r w:rsidRPr="00F43829">
          <w:rPr>
            <w:bCs/>
          </w:rPr>
          <w:instrText xml:space="preserve"> NUMPAGES  </w:instrText>
        </w:r>
        <w:r w:rsidRPr="00F43829">
          <w:rPr>
            <w:bCs/>
            <w:szCs w:val="24"/>
          </w:rPr>
          <w:fldChar w:fldCharType="separate"/>
        </w:r>
        <w:r>
          <w:rPr>
            <w:bCs/>
            <w:noProof/>
          </w:rPr>
          <w:t>2</w:t>
        </w:r>
        <w:r w:rsidRPr="00F43829">
          <w:rPr>
            <w:bCs/>
            <w:szCs w:val="24"/>
          </w:rPr>
          <w:fldChar w:fldCharType="end"/>
        </w:r>
      </w:p>
      <w:p w14:paraId="485512F1" w14:textId="77777777" w:rsidR="006163A8" w:rsidRDefault="009F7797">
        <w:pPr>
          <w:pStyle w:val="Heade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112B0" w14:textId="7DC02747" w:rsidR="006163A8" w:rsidRPr="00792613" w:rsidRDefault="006163A8" w:rsidP="00792613">
    <w:pPr>
      <w:pBdr>
        <w:bottom w:val="single" w:sz="12" w:space="1" w:color="auto"/>
      </w:pBdr>
      <w:jc w:val="right"/>
    </w:pPr>
    <w:r>
      <w:rPr>
        <w:rFonts w:ascii="Times" w:hAnsi="Times"/>
        <w:noProof/>
        <w:lang w:val="en-GB" w:eastAsia="en-GB"/>
      </w:rPr>
      <w:drawing>
        <wp:anchor distT="0" distB="0" distL="114300" distR="114300" simplePos="0" relativeHeight="251660288" behindDoc="0" locked="0" layoutInCell="1" allowOverlap="1" wp14:anchorId="5DE7D162" wp14:editId="372C1484">
          <wp:simplePos x="0" y="0"/>
          <wp:positionH relativeFrom="margin">
            <wp:posOffset>19050</wp:posOffset>
          </wp:positionH>
          <wp:positionV relativeFrom="paragraph">
            <wp:posOffset>-101600</wp:posOffset>
          </wp:positionV>
          <wp:extent cx="1847850" cy="61318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ualogo_MATTE_blue_16456a USE.png"/>
                  <pic:cNvPicPr/>
                </pic:nvPicPr>
                <pic:blipFill>
                  <a:blip r:embed="rId1">
                    <a:extLst>
                      <a:ext uri="{28A0092B-C50C-407E-A947-70E740481C1C}">
                        <a14:useLocalDpi xmlns:a14="http://schemas.microsoft.com/office/drawing/2010/main" val="0"/>
                      </a:ext>
                    </a:extLst>
                  </a:blip>
                  <a:stretch>
                    <a:fillRect/>
                  </a:stretch>
                </pic:blipFill>
                <pic:spPr>
                  <a:xfrm>
                    <a:off x="0" y="0"/>
                    <a:ext cx="1847850" cy="613187"/>
                  </a:xfrm>
                  <a:prstGeom prst="rect">
                    <a:avLst/>
                  </a:prstGeom>
                </pic:spPr>
              </pic:pic>
            </a:graphicData>
          </a:graphic>
          <wp14:sizeRelH relativeFrom="margin">
            <wp14:pctWidth>0</wp14:pctWidth>
          </wp14:sizeRelH>
          <wp14:sizeRelV relativeFrom="margin">
            <wp14:pctHeight>0</wp14:pctHeight>
          </wp14:sizeRelV>
        </wp:anchor>
      </w:drawing>
    </w:r>
    <w:r>
      <w:rPr>
        <w:rFonts w:ascii="Times" w:hAnsi="Times"/>
      </w:rPr>
      <w:tab/>
    </w:r>
    <w:r>
      <w:rPr>
        <w:rFonts w:ascii="Times" w:hAnsi="Times"/>
      </w:rPr>
      <w:tab/>
    </w:r>
    <w:r>
      <w:rPr>
        <w:rFonts w:ascii="Times" w:hAnsi="Times"/>
      </w:rPr>
      <w:tab/>
    </w:r>
    <w:sdt>
      <w:sdtPr>
        <w:id w:val="12809555"/>
        <w:docPartObj>
          <w:docPartGallery w:val="Page Numbers (Top of Page)"/>
          <w:docPartUnique/>
        </w:docPartObj>
      </w:sdtPr>
      <w:sdtEndPr/>
      <w:sdtContent>
        <w:r w:rsidRPr="00792613">
          <w:t xml:space="preserve">Page </w:t>
        </w:r>
        <w:r w:rsidRPr="00792613">
          <w:rPr>
            <w:bCs/>
            <w:szCs w:val="24"/>
          </w:rPr>
          <w:fldChar w:fldCharType="begin"/>
        </w:r>
        <w:r w:rsidRPr="00792613">
          <w:rPr>
            <w:bCs/>
          </w:rPr>
          <w:instrText xml:space="preserve"> PAGE </w:instrText>
        </w:r>
        <w:r w:rsidRPr="00792613">
          <w:rPr>
            <w:bCs/>
            <w:szCs w:val="24"/>
          </w:rPr>
          <w:fldChar w:fldCharType="separate"/>
        </w:r>
        <w:r>
          <w:rPr>
            <w:bCs/>
            <w:noProof/>
          </w:rPr>
          <w:t>1</w:t>
        </w:r>
        <w:r w:rsidRPr="00792613">
          <w:rPr>
            <w:bCs/>
            <w:szCs w:val="24"/>
          </w:rPr>
          <w:fldChar w:fldCharType="end"/>
        </w:r>
        <w:r w:rsidRPr="00792613">
          <w:t xml:space="preserve"> of </w:t>
        </w:r>
        <w:r w:rsidRPr="00792613">
          <w:rPr>
            <w:bCs/>
            <w:szCs w:val="24"/>
          </w:rPr>
          <w:fldChar w:fldCharType="begin"/>
        </w:r>
        <w:r w:rsidRPr="00792613">
          <w:rPr>
            <w:bCs/>
          </w:rPr>
          <w:instrText xml:space="preserve"> NUMPAGES  </w:instrText>
        </w:r>
        <w:r w:rsidRPr="00792613">
          <w:rPr>
            <w:bCs/>
            <w:szCs w:val="24"/>
          </w:rPr>
          <w:fldChar w:fldCharType="separate"/>
        </w:r>
        <w:r>
          <w:rPr>
            <w:bCs/>
            <w:noProof/>
          </w:rPr>
          <w:t>1</w:t>
        </w:r>
        <w:r w:rsidRPr="00792613">
          <w:rPr>
            <w:bCs/>
            <w:szCs w:val="24"/>
          </w:rPr>
          <w:fldChar w:fldCharType="end"/>
        </w:r>
      </w:sdtContent>
    </w:sdt>
  </w:p>
  <w:p w14:paraId="0EF6BBD7" w14:textId="2790F241" w:rsidR="006163A8" w:rsidRDefault="006163A8" w:rsidP="00792613">
    <w:pPr>
      <w:pBdr>
        <w:bottom w:val="single" w:sz="12" w:space="1" w:color="auto"/>
      </w:pBdr>
      <w:jc w:val="both"/>
      <w:rPr>
        <w:rFonts w:ascii="Times" w:hAnsi="Times"/>
      </w:rPr>
    </w:pPr>
    <w:r w:rsidRPr="007C2CA5">
      <w:rPr>
        <w:rFonts w:ascii="Times" w:hAnsi="Times"/>
        <w:noProof/>
        <w:lang w:val="en-GB" w:eastAsia="en-GB"/>
      </w:rPr>
      <mc:AlternateContent>
        <mc:Choice Requires="wps">
          <w:drawing>
            <wp:anchor distT="0" distB="0" distL="114300" distR="114300" simplePos="0" relativeHeight="251658240" behindDoc="0" locked="0" layoutInCell="1" allowOverlap="1" wp14:anchorId="027D7B4E" wp14:editId="6AD6B79C">
              <wp:simplePos x="0" y="0"/>
              <wp:positionH relativeFrom="column">
                <wp:posOffset>2638425</wp:posOffset>
              </wp:positionH>
              <wp:positionV relativeFrom="paragraph">
                <wp:posOffset>1270</wp:posOffset>
              </wp:positionV>
              <wp:extent cx="1562100" cy="457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457200"/>
                      </a:xfrm>
                      <a:prstGeom prst="rect">
                        <a:avLst/>
                      </a:prstGeom>
                      <a:noFill/>
                      <a:ln w="9525">
                        <a:noFill/>
                        <a:miter lim="800000"/>
                        <a:headEnd/>
                        <a:tailEnd/>
                      </a:ln>
                    </wps:spPr>
                    <wps:txbx>
                      <w:txbxContent>
                        <w:p w14:paraId="6F33E58E" w14:textId="77777777" w:rsidR="006163A8" w:rsidRPr="007C2CA5" w:rsidRDefault="006163A8" w:rsidP="007615C9">
                          <w:pPr>
                            <w:rPr>
                              <w:sz w:val="40"/>
                              <w:szCs w:val="40"/>
                            </w:rPr>
                          </w:pPr>
                          <w:r w:rsidRPr="007C2CA5">
                            <w:rPr>
                              <w:sz w:val="40"/>
                              <w:szCs w:val="40"/>
                            </w:rPr>
                            <w:t>Background</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027D7B4E" id="_x0000_t202" coordsize="21600,21600" o:spt="202" path="m,l,21600r21600,l21600,xe">
              <v:stroke joinstyle="miter"/>
              <v:path gradientshapeok="t" o:connecttype="rect"/>
            </v:shapetype>
            <v:shape id="Text Box 2" o:spid="_x0000_s1026" type="#_x0000_t202" style="position:absolute;left:0;text-align:left;margin-left:207.75pt;margin-top:.1pt;width:123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" filled="f" stroked="f">
              <v:textbox>
                <w:txbxContent>
                  <w:p w14:paraId="6F33E58E" w14:textId="77777777" w:rsidR="006163A8" w:rsidRPr="007C2CA5" w:rsidRDefault="006163A8" w:rsidP="007615C9">
                    <w:pPr>
                      <w:rPr>
                        <w:sz w:val="40"/>
                        <w:szCs w:val="40"/>
                      </w:rPr>
                    </w:pPr>
                    <w:r w:rsidRPr="007C2CA5">
                      <w:rPr>
                        <w:sz w:val="40"/>
                        <w:szCs w:val="40"/>
                      </w:rPr>
                      <w:t>Background</w:t>
                    </w:r>
                  </w:p>
                </w:txbxContent>
              </v:textbox>
            </v:shape>
          </w:pict>
        </mc:Fallback>
      </mc:AlternateContent>
    </w:r>
    <w:r w:rsidRPr="007C2CA5">
      <w:rPr>
        <w:rFonts w:ascii="Times" w:hAnsi="Times"/>
        <w:noProof/>
      </w:rPr>
      <w:t xml:space="preserve"> </w:t>
    </w:r>
  </w:p>
  <w:p w14:paraId="2A90DFAE" w14:textId="1EA3709E" w:rsidR="006163A8" w:rsidRPr="00ED19CC" w:rsidRDefault="006163A8" w:rsidP="007C4BF3">
    <w:pPr>
      <w:pBdr>
        <w:bottom w:val="single" w:sz="12" w:space="1" w:color="auto"/>
      </w:pBdr>
      <w:jc w:val="both"/>
      <w:rPr>
        <w:rFonts w:ascii="Times" w:hAnsi="Times"/>
      </w:rPr>
    </w:pPr>
  </w:p>
  <w:p w14:paraId="12E1CF02" w14:textId="253502FB" w:rsidR="006163A8" w:rsidRDefault="006163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51C75"/>
    <w:multiLevelType w:val="hybridMultilevel"/>
    <w:tmpl w:val="D6FE6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6369F"/>
    <w:multiLevelType w:val="hybridMultilevel"/>
    <w:tmpl w:val="7AB61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F36F8"/>
    <w:multiLevelType w:val="hybridMultilevel"/>
    <w:tmpl w:val="06DA4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26960"/>
    <w:multiLevelType w:val="hybridMultilevel"/>
    <w:tmpl w:val="BA26B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04BBF"/>
    <w:multiLevelType w:val="hybridMultilevel"/>
    <w:tmpl w:val="27C88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D760C"/>
    <w:multiLevelType w:val="hybridMultilevel"/>
    <w:tmpl w:val="C6369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FB3179"/>
    <w:multiLevelType w:val="hybridMultilevel"/>
    <w:tmpl w:val="AE36E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0324F0"/>
    <w:multiLevelType w:val="hybridMultilevel"/>
    <w:tmpl w:val="B6904D2E"/>
    <w:lvl w:ilvl="0" w:tplc="4B545066">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E229B2"/>
    <w:multiLevelType w:val="hybridMultilevel"/>
    <w:tmpl w:val="09CAE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510AB"/>
    <w:multiLevelType w:val="hybridMultilevel"/>
    <w:tmpl w:val="447EF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F15EAD"/>
    <w:multiLevelType w:val="hybridMultilevel"/>
    <w:tmpl w:val="A49C8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EC3F4A"/>
    <w:multiLevelType w:val="hybridMultilevel"/>
    <w:tmpl w:val="9ACE7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6312B1"/>
    <w:multiLevelType w:val="hybridMultilevel"/>
    <w:tmpl w:val="E394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947FEB"/>
    <w:multiLevelType w:val="hybridMultilevel"/>
    <w:tmpl w:val="41C81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811DEA"/>
    <w:multiLevelType w:val="hybridMultilevel"/>
    <w:tmpl w:val="AE6E1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A00D35"/>
    <w:multiLevelType w:val="hybridMultilevel"/>
    <w:tmpl w:val="A852E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EB37A17"/>
    <w:multiLevelType w:val="hybridMultilevel"/>
    <w:tmpl w:val="0B08A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DF3FAB"/>
    <w:multiLevelType w:val="hybridMultilevel"/>
    <w:tmpl w:val="93EE7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2CE69B2"/>
    <w:multiLevelType w:val="hybridMultilevel"/>
    <w:tmpl w:val="B45E0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6E7017"/>
    <w:multiLevelType w:val="hybridMultilevel"/>
    <w:tmpl w:val="0AA01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856EF1"/>
    <w:multiLevelType w:val="hybridMultilevel"/>
    <w:tmpl w:val="45760F5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9E17B7"/>
    <w:multiLevelType w:val="hybridMultilevel"/>
    <w:tmpl w:val="E474F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D54118"/>
    <w:multiLevelType w:val="hybridMultilevel"/>
    <w:tmpl w:val="F81AC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7E70E5A"/>
    <w:multiLevelType w:val="hybridMultilevel"/>
    <w:tmpl w:val="1B3A0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1A0932"/>
    <w:multiLevelType w:val="hybridMultilevel"/>
    <w:tmpl w:val="FDD09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4C4351"/>
    <w:multiLevelType w:val="hybridMultilevel"/>
    <w:tmpl w:val="8D78A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EB0995"/>
    <w:multiLevelType w:val="hybridMultilevel"/>
    <w:tmpl w:val="B464E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976C5F"/>
    <w:multiLevelType w:val="hybridMultilevel"/>
    <w:tmpl w:val="9D92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8976E3"/>
    <w:multiLevelType w:val="hybridMultilevel"/>
    <w:tmpl w:val="5708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3614CD"/>
    <w:multiLevelType w:val="hybridMultilevel"/>
    <w:tmpl w:val="4530B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E446F8"/>
    <w:multiLevelType w:val="hybridMultilevel"/>
    <w:tmpl w:val="B39C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F240C6"/>
    <w:multiLevelType w:val="hybridMultilevel"/>
    <w:tmpl w:val="3384A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F66ABC"/>
    <w:multiLevelType w:val="hybridMultilevel"/>
    <w:tmpl w:val="0AC8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0E4DD8"/>
    <w:multiLevelType w:val="hybridMultilevel"/>
    <w:tmpl w:val="D34C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D95CAE"/>
    <w:multiLevelType w:val="hybridMultilevel"/>
    <w:tmpl w:val="A2840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D51585E"/>
    <w:multiLevelType w:val="hybridMultilevel"/>
    <w:tmpl w:val="AF1C4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EA6167"/>
    <w:multiLevelType w:val="hybridMultilevel"/>
    <w:tmpl w:val="B05E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E3A5B64"/>
    <w:multiLevelType w:val="hybridMultilevel"/>
    <w:tmpl w:val="4F362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1915E3"/>
    <w:multiLevelType w:val="hybridMultilevel"/>
    <w:tmpl w:val="EF320C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0A4581A"/>
    <w:multiLevelType w:val="hybridMultilevel"/>
    <w:tmpl w:val="59D6B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390726A"/>
    <w:multiLevelType w:val="hybridMultilevel"/>
    <w:tmpl w:val="B1242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4FC151F"/>
    <w:multiLevelType w:val="hybridMultilevel"/>
    <w:tmpl w:val="F18E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8393F14"/>
    <w:multiLevelType w:val="hybridMultilevel"/>
    <w:tmpl w:val="24925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A2B7B69"/>
    <w:multiLevelType w:val="hybridMultilevel"/>
    <w:tmpl w:val="F7F4E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DBE7EA0"/>
    <w:multiLevelType w:val="hybridMultilevel"/>
    <w:tmpl w:val="3A505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0107F4F"/>
    <w:multiLevelType w:val="hybridMultilevel"/>
    <w:tmpl w:val="881C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17753EC"/>
    <w:multiLevelType w:val="hybridMultilevel"/>
    <w:tmpl w:val="9FD0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20345DB"/>
    <w:multiLevelType w:val="hybridMultilevel"/>
    <w:tmpl w:val="329C0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3F27CA2"/>
    <w:multiLevelType w:val="hybridMultilevel"/>
    <w:tmpl w:val="718A2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69E0B1E"/>
    <w:multiLevelType w:val="hybridMultilevel"/>
    <w:tmpl w:val="619E5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7817D0F"/>
    <w:multiLevelType w:val="hybridMultilevel"/>
    <w:tmpl w:val="1504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CDD1DD6"/>
    <w:multiLevelType w:val="hybridMultilevel"/>
    <w:tmpl w:val="BCDAA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06766D1"/>
    <w:multiLevelType w:val="hybridMultilevel"/>
    <w:tmpl w:val="49D85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0D97FCE"/>
    <w:multiLevelType w:val="hybridMultilevel"/>
    <w:tmpl w:val="B9103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11924CC"/>
    <w:multiLevelType w:val="hybridMultilevel"/>
    <w:tmpl w:val="39389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20876BE"/>
    <w:multiLevelType w:val="hybridMultilevel"/>
    <w:tmpl w:val="2F7E6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A950A06"/>
    <w:multiLevelType w:val="hybridMultilevel"/>
    <w:tmpl w:val="F1B68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D3D62E8"/>
    <w:multiLevelType w:val="hybridMultilevel"/>
    <w:tmpl w:val="2F94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ECD5C92"/>
    <w:multiLevelType w:val="hybridMultilevel"/>
    <w:tmpl w:val="0DE08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EDC1DB0"/>
    <w:multiLevelType w:val="hybridMultilevel"/>
    <w:tmpl w:val="D3109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2"/>
  </w:num>
  <w:num w:numId="3">
    <w:abstractNumId w:val="43"/>
  </w:num>
  <w:num w:numId="4">
    <w:abstractNumId w:val="35"/>
  </w:num>
  <w:num w:numId="5">
    <w:abstractNumId w:val="6"/>
  </w:num>
  <w:num w:numId="6">
    <w:abstractNumId w:val="49"/>
  </w:num>
  <w:num w:numId="7">
    <w:abstractNumId w:val="17"/>
  </w:num>
  <w:num w:numId="8">
    <w:abstractNumId w:val="19"/>
  </w:num>
  <w:num w:numId="9">
    <w:abstractNumId w:val="8"/>
  </w:num>
  <w:num w:numId="10">
    <w:abstractNumId w:val="40"/>
  </w:num>
  <w:num w:numId="11">
    <w:abstractNumId w:val="4"/>
  </w:num>
  <w:num w:numId="12">
    <w:abstractNumId w:val="37"/>
  </w:num>
  <w:num w:numId="13">
    <w:abstractNumId w:val="26"/>
  </w:num>
  <w:num w:numId="14">
    <w:abstractNumId w:val="5"/>
  </w:num>
  <w:num w:numId="15">
    <w:abstractNumId w:val="58"/>
  </w:num>
  <w:num w:numId="16">
    <w:abstractNumId w:val="38"/>
  </w:num>
  <w:num w:numId="17">
    <w:abstractNumId w:val="15"/>
  </w:num>
  <w:num w:numId="18">
    <w:abstractNumId w:val="32"/>
  </w:num>
  <w:num w:numId="19">
    <w:abstractNumId w:val="2"/>
  </w:num>
  <w:num w:numId="20">
    <w:abstractNumId w:val="52"/>
  </w:num>
  <w:num w:numId="21">
    <w:abstractNumId w:val="11"/>
  </w:num>
  <w:num w:numId="22">
    <w:abstractNumId w:val="45"/>
  </w:num>
  <w:num w:numId="23">
    <w:abstractNumId w:val="50"/>
  </w:num>
  <w:num w:numId="24">
    <w:abstractNumId w:val="51"/>
  </w:num>
  <w:num w:numId="25">
    <w:abstractNumId w:val="56"/>
  </w:num>
  <w:num w:numId="26">
    <w:abstractNumId w:val="47"/>
  </w:num>
  <w:num w:numId="27">
    <w:abstractNumId w:val="13"/>
  </w:num>
  <w:num w:numId="28">
    <w:abstractNumId w:val="46"/>
  </w:num>
  <w:num w:numId="29">
    <w:abstractNumId w:val="10"/>
  </w:num>
  <w:num w:numId="30">
    <w:abstractNumId w:val="16"/>
  </w:num>
  <w:num w:numId="31">
    <w:abstractNumId w:val="23"/>
  </w:num>
  <w:num w:numId="32">
    <w:abstractNumId w:val="41"/>
  </w:num>
  <w:num w:numId="33">
    <w:abstractNumId w:val="48"/>
  </w:num>
  <w:num w:numId="34">
    <w:abstractNumId w:val="27"/>
  </w:num>
  <w:num w:numId="35">
    <w:abstractNumId w:val="1"/>
  </w:num>
  <w:num w:numId="36">
    <w:abstractNumId w:val="29"/>
  </w:num>
  <w:num w:numId="37">
    <w:abstractNumId w:val="59"/>
  </w:num>
  <w:num w:numId="38">
    <w:abstractNumId w:val="9"/>
  </w:num>
  <w:num w:numId="39">
    <w:abstractNumId w:val="14"/>
  </w:num>
  <w:num w:numId="40">
    <w:abstractNumId w:val="31"/>
  </w:num>
  <w:num w:numId="41">
    <w:abstractNumId w:val="44"/>
  </w:num>
  <w:num w:numId="42">
    <w:abstractNumId w:val="54"/>
  </w:num>
  <w:num w:numId="43">
    <w:abstractNumId w:val="0"/>
  </w:num>
  <w:num w:numId="44">
    <w:abstractNumId w:val="30"/>
  </w:num>
  <w:num w:numId="45">
    <w:abstractNumId w:val="31"/>
  </w:num>
  <w:num w:numId="46">
    <w:abstractNumId w:val="55"/>
  </w:num>
  <w:num w:numId="47">
    <w:abstractNumId w:val="34"/>
  </w:num>
  <w:num w:numId="48">
    <w:abstractNumId w:val="25"/>
  </w:num>
  <w:num w:numId="49">
    <w:abstractNumId w:val="21"/>
  </w:num>
  <w:num w:numId="50">
    <w:abstractNumId w:val="3"/>
  </w:num>
  <w:num w:numId="51">
    <w:abstractNumId w:val="36"/>
  </w:num>
  <w:num w:numId="52">
    <w:abstractNumId w:val="33"/>
  </w:num>
  <w:num w:numId="53">
    <w:abstractNumId w:val="53"/>
  </w:num>
  <w:num w:numId="54">
    <w:abstractNumId w:val="7"/>
  </w:num>
  <w:num w:numId="55">
    <w:abstractNumId w:val="28"/>
  </w:num>
  <w:num w:numId="56">
    <w:abstractNumId w:val="22"/>
  </w:num>
  <w:num w:numId="57">
    <w:abstractNumId w:val="57"/>
  </w:num>
  <w:num w:numId="58">
    <w:abstractNumId w:val="24"/>
  </w:num>
  <w:num w:numId="59">
    <w:abstractNumId w:val="39"/>
  </w:num>
  <w:num w:numId="60">
    <w:abstractNumId w:val="20"/>
  </w:num>
  <w:num w:numId="61">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extChanged" w:val="橄ㄴ木пӶ찔㈇"/>
  </w:docVars>
  <w:rsids>
    <w:rsidRoot w:val="0023690D"/>
    <w:rsid w:val="00000908"/>
    <w:rsid w:val="0000287C"/>
    <w:rsid w:val="00003620"/>
    <w:rsid w:val="0000516D"/>
    <w:rsid w:val="0000584C"/>
    <w:rsid w:val="00010BD3"/>
    <w:rsid w:val="00010EDA"/>
    <w:rsid w:val="00011298"/>
    <w:rsid w:val="0001224B"/>
    <w:rsid w:val="00013706"/>
    <w:rsid w:val="00013A5F"/>
    <w:rsid w:val="00014025"/>
    <w:rsid w:val="00014E3E"/>
    <w:rsid w:val="00014FEF"/>
    <w:rsid w:val="0001566F"/>
    <w:rsid w:val="00016F77"/>
    <w:rsid w:val="00017628"/>
    <w:rsid w:val="00020078"/>
    <w:rsid w:val="00020F89"/>
    <w:rsid w:val="000215AA"/>
    <w:rsid w:val="00021C22"/>
    <w:rsid w:val="00022117"/>
    <w:rsid w:val="00024535"/>
    <w:rsid w:val="00024CD8"/>
    <w:rsid w:val="00030429"/>
    <w:rsid w:val="00034B61"/>
    <w:rsid w:val="000357CB"/>
    <w:rsid w:val="00035A4B"/>
    <w:rsid w:val="00041E23"/>
    <w:rsid w:val="00042680"/>
    <w:rsid w:val="000429BC"/>
    <w:rsid w:val="000449FA"/>
    <w:rsid w:val="0004536A"/>
    <w:rsid w:val="000474A2"/>
    <w:rsid w:val="00047C81"/>
    <w:rsid w:val="00047E81"/>
    <w:rsid w:val="00047F5E"/>
    <w:rsid w:val="00050374"/>
    <w:rsid w:val="00050533"/>
    <w:rsid w:val="000507E9"/>
    <w:rsid w:val="0005204C"/>
    <w:rsid w:val="00055226"/>
    <w:rsid w:val="000609FA"/>
    <w:rsid w:val="0006152D"/>
    <w:rsid w:val="000620F1"/>
    <w:rsid w:val="0006278A"/>
    <w:rsid w:val="00062A50"/>
    <w:rsid w:val="000638CE"/>
    <w:rsid w:val="0006526F"/>
    <w:rsid w:val="00066794"/>
    <w:rsid w:val="000668B5"/>
    <w:rsid w:val="00066AB5"/>
    <w:rsid w:val="00067299"/>
    <w:rsid w:val="00067923"/>
    <w:rsid w:val="00072F35"/>
    <w:rsid w:val="00080E1A"/>
    <w:rsid w:val="0008164C"/>
    <w:rsid w:val="00082153"/>
    <w:rsid w:val="0008283C"/>
    <w:rsid w:val="00083251"/>
    <w:rsid w:val="00085587"/>
    <w:rsid w:val="00085946"/>
    <w:rsid w:val="00086275"/>
    <w:rsid w:val="000865DC"/>
    <w:rsid w:val="000869F8"/>
    <w:rsid w:val="00092A64"/>
    <w:rsid w:val="00092B41"/>
    <w:rsid w:val="0009408C"/>
    <w:rsid w:val="000940BA"/>
    <w:rsid w:val="00094A33"/>
    <w:rsid w:val="000959D5"/>
    <w:rsid w:val="00097C46"/>
    <w:rsid w:val="000A1FED"/>
    <w:rsid w:val="000A2DAB"/>
    <w:rsid w:val="000A3268"/>
    <w:rsid w:val="000A3801"/>
    <w:rsid w:val="000A5040"/>
    <w:rsid w:val="000A572C"/>
    <w:rsid w:val="000B1A09"/>
    <w:rsid w:val="000B2655"/>
    <w:rsid w:val="000B50CB"/>
    <w:rsid w:val="000B558E"/>
    <w:rsid w:val="000B7774"/>
    <w:rsid w:val="000C0003"/>
    <w:rsid w:val="000C1C0C"/>
    <w:rsid w:val="000C2000"/>
    <w:rsid w:val="000C256A"/>
    <w:rsid w:val="000C4707"/>
    <w:rsid w:val="000D003E"/>
    <w:rsid w:val="000D0AA2"/>
    <w:rsid w:val="000D1A2A"/>
    <w:rsid w:val="000D327D"/>
    <w:rsid w:val="000D3F85"/>
    <w:rsid w:val="000D5260"/>
    <w:rsid w:val="000E154A"/>
    <w:rsid w:val="000E2692"/>
    <w:rsid w:val="000E41FF"/>
    <w:rsid w:val="000E6682"/>
    <w:rsid w:val="000E7D48"/>
    <w:rsid w:val="000F34B1"/>
    <w:rsid w:val="000F459C"/>
    <w:rsid w:val="000F45AC"/>
    <w:rsid w:val="000F69BC"/>
    <w:rsid w:val="00100FED"/>
    <w:rsid w:val="00101178"/>
    <w:rsid w:val="00104DF7"/>
    <w:rsid w:val="0010550F"/>
    <w:rsid w:val="001055E5"/>
    <w:rsid w:val="00105EBD"/>
    <w:rsid w:val="0010665A"/>
    <w:rsid w:val="001067EA"/>
    <w:rsid w:val="00110997"/>
    <w:rsid w:val="001122D7"/>
    <w:rsid w:val="00115473"/>
    <w:rsid w:val="001165CA"/>
    <w:rsid w:val="00117B9C"/>
    <w:rsid w:val="0012036F"/>
    <w:rsid w:val="00120763"/>
    <w:rsid w:val="00120C32"/>
    <w:rsid w:val="00120D2C"/>
    <w:rsid w:val="001210B9"/>
    <w:rsid w:val="00122A27"/>
    <w:rsid w:val="0012327E"/>
    <w:rsid w:val="00123379"/>
    <w:rsid w:val="0012476D"/>
    <w:rsid w:val="001254C6"/>
    <w:rsid w:val="00126F94"/>
    <w:rsid w:val="00130A1B"/>
    <w:rsid w:val="00131538"/>
    <w:rsid w:val="00131729"/>
    <w:rsid w:val="0013420B"/>
    <w:rsid w:val="0013535E"/>
    <w:rsid w:val="00136946"/>
    <w:rsid w:val="0014232D"/>
    <w:rsid w:val="001423C5"/>
    <w:rsid w:val="00142546"/>
    <w:rsid w:val="00144190"/>
    <w:rsid w:val="00152A58"/>
    <w:rsid w:val="00152DA9"/>
    <w:rsid w:val="0015359A"/>
    <w:rsid w:val="00155C20"/>
    <w:rsid w:val="00155FEC"/>
    <w:rsid w:val="00156CA9"/>
    <w:rsid w:val="00157E2E"/>
    <w:rsid w:val="00157F84"/>
    <w:rsid w:val="001602BA"/>
    <w:rsid w:val="00160A11"/>
    <w:rsid w:val="0016725C"/>
    <w:rsid w:val="00170631"/>
    <w:rsid w:val="0017170F"/>
    <w:rsid w:val="0017474A"/>
    <w:rsid w:val="001749B3"/>
    <w:rsid w:val="001755A4"/>
    <w:rsid w:val="00175D7D"/>
    <w:rsid w:val="00176481"/>
    <w:rsid w:val="00177F59"/>
    <w:rsid w:val="00180A98"/>
    <w:rsid w:val="00180B87"/>
    <w:rsid w:val="001813BD"/>
    <w:rsid w:val="00181C81"/>
    <w:rsid w:val="0018477B"/>
    <w:rsid w:val="00184916"/>
    <w:rsid w:val="00184AA5"/>
    <w:rsid w:val="00185B96"/>
    <w:rsid w:val="0018624E"/>
    <w:rsid w:val="00186E5B"/>
    <w:rsid w:val="001870D0"/>
    <w:rsid w:val="001871E5"/>
    <w:rsid w:val="001874A2"/>
    <w:rsid w:val="001926A2"/>
    <w:rsid w:val="001934DA"/>
    <w:rsid w:val="0019396B"/>
    <w:rsid w:val="001939F5"/>
    <w:rsid w:val="00193B46"/>
    <w:rsid w:val="00193D84"/>
    <w:rsid w:val="001948F2"/>
    <w:rsid w:val="001959DE"/>
    <w:rsid w:val="001979D7"/>
    <w:rsid w:val="001A23E0"/>
    <w:rsid w:val="001A3BAD"/>
    <w:rsid w:val="001A3BFC"/>
    <w:rsid w:val="001A3DD0"/>
    <w:rsid w:val="001A5266"/>
    <w:rsid w:val="001A61C5"/>
    <w:rsid w:val="001A6F92"/>
    <w:rsid w:val="001A7463"/>
    <w:rsid w:val="001A7AE7"/>
    <w:rsid w:val="001B058E"/>
    <w:rsid w:val="001B1B25"/>
    <w:rsid w:val="001B3868"/>
    <w:rsid w:val="001B52D2"/>
    <w:rsid w:val="001B52FA"/>
    <w:rsid w:val="001B7766"/>
    <w:rsid w:val="001C1B6C"/>
    <w:rsid w:val="001C25E1"/>
    <w:rsid w:val="001C281F"/>
    <w:rsid w:val="001C2F00"/>
    <w:rsid w:val="001C3D54"/>
    <w:rsid w:val="001C4233"/>
    <w:rsid w:val="001C52EF"/>
    <w:rsid w:val="001D05DC"/>
    <w:rsid w:val="001D301D"/>
    <w:rsid w:val="001D3136"/>
    <w:rsid w:val="001D3536"/>
    <w:rsid w:val="001D7BBE"/>
    <w:rsid w:val="001E1F31"/>
    <w:rsid w:val="001E46DA"/>
    <w:rsid w:val="001E782C"/>
    <w:rsid w:val="001F0A76"/>
    <w:rsid w:val="001F4D72"/>
    <w:rsid w:val="001F6632"/>
    <w:rsid w:val="00202734"/>
    <w:rsid w:val="0020343E"/>
    <w:rsid w:val="00203E1D"/>
    <w:rsid w:val="00204B03"/>
    <w:rsid w:val="00206139"/>
    <w:rsid w:val="002110E4"/>
    <w:rsid w:val="00212EB7"/>
    <w:rsid w:val="002134F9"/>
    <w:rsid w:val="00215B54"/>
    <w:rsid w:val="00215B5F"/>
    <w:rsid w:val="00216242"/>
    <w:rsid w:val="00216425"/>
    <w:rsid w:val="00222960"/>
    <w:rsid w:val="00222F71"/>
    <w:rsid w:val="002232F4"/>
    <w:rsid w:val="00224BCF"/>
    <w:rsid w:val="00226362"/>
    <w:rsid w:val="00230E05"/>
    <w:rsid w:val="00231D6C"/>
    <w:rsid w:val="00234F26"/>
    <w:rsid w:val="0023645F"/>
    <w:rsid w:val="0023690D"/>
    <w:rsid w:val="0023777F"/>
    <w:rsid w:val="0024280B"/>
    <w:rsid w:val="00242960"/>
    <w:rsid w:val="00244E8D"/>
    <w:rsid w:val="00246944"/>
    <w:rsid w:val="00246BB8"/>
    <w:rsid w:val="00247351"/>
    <w:rsid w:val="0025183A"/>
    <w:rsid w:val="002522D5"/>
    <w:rsid w:val="00252EDB"/>
    <w:rsid w:val="002530CE"/>
    <w:rsid w:val="00255968"/>
    <w:rsid w:val="002561E1"/>
    <w:rsid w:val="00257558"/>
    <w:rsid w:val="002608E3"/>
    <w:rsid w:val="00260994"/>
    <w:rsid w:val="00261AA6"/>
    <w:rsid w:val="00266E77"/>
    <w:rsid w:val="00270336"/>
    <w:rsid w:val="002715DA"/>
    <w:rsid w:val="00273119"/>
    <w:rsid w:val="002736A1"/>
    <w:rsid w:val="002742C5"/>
    <w:rsid w:val="0027642E"/>
    <w:rsid w:val="00276B51"/>
    <w:rsid w:val="0028211D"/>
    <w:rsid w:val="00282A06"/>
    <w:rsid w:val="00283766"/>
    <w:rsid w:val="00285C67"/>
    <w:rsid w:val="00286A33"/>
    <w:rsid w:val="002874CC"/>
    <w:rsid w:val="002906DD"/>
    <w:rsid w:val="002912C3"/>
    <w:rsid w:val="002920C5"/>
    <w:rsid w:val="002952FB"/>
    <w:rsid w:val="0029603D"/>
    <w:rsid w:val="00296FE7"/>
    <w:rsid w:val="00297ADB"/>
    <w:rsid w:val="002A25B7"/>
    <w:rsid w:val="002A35D8"/>
    <w:rsid w:val="002A4485"/>
    <w:rsid w:val="002A4597"/>
    <w:rsid w:val="002A61BB"/>
    <w:rsid w:val="002B021D"/>
    <w:rsid w:val="002B0F88"/>
    <w:rsid w:val="002B2EEF"/>
    <w:rsid w:val="002B3B7D"/>
    <w:rsid w:val="002B3E83"/>
    <w:rsid w:val="002B415B"/>
    <w:rsid w:val="002B4715"/>
    <w:rsid w:val="002B4CC2"/>
    <w:rsid w:val="002B4D3F"/>
    <w:rsid w:val="002B6AA5"/>
    <w:rsid w:val="002C1665"/>
    <w:rsid w:val="002C1B0E"/>
    <w:rsid w:val="002C2AEA"/>
    <w:rsid w:val="002C317F"/>
    <w:rsid w:val="002C42C6"/>
    <w:rsid w:val="002C606F"/>
    <w:rsid w:val="002C6301"/>
    <w:rsid w:val="002C6ED8"/>
    <w:rsid w:val="002D0EC4"/>
    <w:rsid w:val="002D1A98"/>
    <w:rsid w:val="002D3132"/>
    <w:rsid w:val="002D365B"/>
    <w:rsid w:val="002D3795"/>
    <w:rsid w:val="002D4172"/>
    <w:rsid w:val="002D4300"/>
    <w:rsid w:val="002D4D80"/>
    <w:rsid w:val="002D69D7"/>
    <w:rsid w:val="002D6B41"/>
    <w:rsid w:val="002D7C31"/>
    <w:rsid w:val="002E0C2D"/>
    <w:rsid w:val="002E0D63"/>
    <w:rsid w:val="002E107E"/>
    <w:rsid w:val="002E2165"/>
    <w:rsid w:val="002E2A4E"/>
    <w:rsid w:val="002E3DA1"/>
    <w:rsid w:val="002E5D6E"/>
    <w:rsid w:val="002E711E"/>
    <w:rsid w:val="002F1392"/>
    <w:rsid w:val="002F1D52"/>
    <w:rsid w:val="002F1FF3"/>
    <w:rsid w:val="002F2CDF"/>
    <w:rsid w:val="002F634D"/>
    <w:rsid w:val="00300657"/>
    <w:rsid w:val="0030218F"/>
    <w:rsid w:val="003029D9"/>
    <w:rsid w:val="00303703"/>
    <w:rsid w:val="00304943"/>
    <w:rsid w:val="00305885"/>
    <w:rsid w:val="0030621F"/>
    <w:rsid w:val="003062D8"/>
    <w:rsid w:val="0030711E"/>
    <w:rsid w:val="003077E7"/>
    <w:rsid w:val="00310E60"/>
    <w:rsid w:val="00311D25"/>
    <w:rsid w:val="00311DE3"/>
    <w:rsid w:val="00313E4F"/>
    <w:rsid w:val="0031404E"/>
    <w:rsid w:val="00314282"/>
    <w:rsid w:val="003148A8"/>
    <w:rsid w:val="00315734"/>
    <w:rsid w:val="00315905"/>
    <w:rsid w:val="0032166A"/>
    <w:rsid w:val="00321A1F"/>
    <w:rsid w:val="00322EBF"/>
    <w:rsid w:val="003232E0"/>
    <w:rsid w:val="003237C2"/>
    <w:rsid w:val="00326229"/>
    <w:rsid w:val="0032687D"/>
    <w:rsid w:val="00327BE6"/>
    <w:rsid w:val="00330C4A"/>
    <w:rsid w:val="00331F8D"/>
    <w:rsid w:val="003330D0"/>
    <w:rsid w:val="00334A8D"/>
    <w:rsid w:val="00336EA2"/>
    <w:rsid w:val="00342FB5"/>
    <w:rsid w:val="00344314"/>
    <w:rsid w:val="00346B8F"/>
    <w:rsid w:val="003507FE"/>
    <w:rsid w:val="003513F6"/>
    <w:rsid w:val="00351571"/>
    <w:rsid w:val="003534EF"/>
    <w:rsid w:val="0035357F"/>
    <w:rsid w:val="0035465C"/>
    <w:rsid w:val="003547B0"/>
    <w:rsid w:val="003572A3"/>
    <w:rsid w:val="003615A9"/>
    <w:rsid w:val="00361A23"/>
    <w:rsid w:val="0036203B"/>
    <w:rsid w:val="003636FE"/>
    <w:rsid w:val="0036597B"/>
    <w:rsid w:val="00365E83"/>
    <w:rsid w:val="0037027A"/>
    <w:rsid w:val="00370627"/>
    <w:rsid w:val="00371468"/>
    <w:rsid w:val="0037207F"/>
    <w:rsid w:val="0037218A"/>
    <w:rsid w:val="00372444"/>
    <w:rsid w:val="00374958"/>
    <w:rsid w:val="00374D2E"/>
    <w:rsid w:val="003759F2"/>
    <w:rsid w:val="00375DEE"/>
    <w:rsid w:val="00380293"/>
    <w:rsid w:val="00382535"/>
    <w:rsid w:val="003831E6"/>
    <w:rsid w:val="0038517B"/>
    <w:rsid w:val="00385489"/>
    <w:rsid w:val="003868C2"/>
    <w:rsid w:val="00386C30"/>
    <w:rsid w:val="00387B05"/>
    <w:rsid w:val="00392D32"/>
    <w:rsid w:val="0039343A"/>
    <w:rsid w:val="00394E8C"/>
    <w:rsid w:val="00395E27"/>
    <w:rsid w:val="00396A03"/>
    <w:rsid w:val="003A0085"/>
    <w:rsid w:val="003A3AC9"/>
    <w:rsid w:val="003A455E"/>
    <w:rsid w:val="003B103C"/>
    <w:rsid w:val="003B3BA7"/>
    <w:rsid w:val="003B42EB"/>
    <w:rsid w:val="003B4676"/>
    <w:rsid w:val="003B5354"/>
    <w:rsid w:val="003B7359"/>
    <w:rsid w:val="003B788C"/>
    <w:rsid w:val="003B7CDC"/>
    <w:rsid w:val="003C2724"/>
    <w:rsid w:val="003C2AB6"/>
    <w:rsid w:val="003C42CB"/>
    <w:rsid w:val="003C440A"/>
    <w:rsid w:val="003C5AD0"/>
    <w:rsid w:val="003D1F49"/>
    <w:rsid w:val="003D29B1"/>
    <w:rsid w:val="003D2A55"/>
    <w:rsid w:val="003D3E66"/>
    <w:rsid w:val="003D44B8"/>
    <w:rsid w:val="003D44E4"/>
    <w:rsid w:val="003D5346"/>
    <w:rsid w:val="003D5D11"/>
    <w:rsid w:val="003D60C6"/>
    <w:rsid w:val="003D6301"/>
    <w:rsid w:val="003D6C85"/>
    <w:rsid w:val="003D6E1E"/>
    <w:rsid w:val="003D7480"/>
    <w:rsid w:val="003D7ABF"/>
    <w:rsid w:val="003D7CD9"/>
    <w:rsid w:val="003E262C"/>
    <w:rsid w:val="003E33F9"/>
    <w:rsid w:val="003E453F"/>
    <w:rsid w:val="003E5100"/>
    <w:rsid w:val="003E5145"/>
    <w:rsid w:val="003E6AAF"/>
    <w:rsid w:val="003F0427"/>
    <w:rsid w:val="003F0A3E"/>
    <w:rsid w:val="003F3333"/>
    <w:rsid w:val="003F38F4"/>
    <w:rsid w:val="003F3E98"/>
    <w:rsid w:val="003F5C86"/>
    <w:rsid w:val="003F6538"/>
    <w:rsid w:val="003F6904"/>
    <w:rsid w:val="003F7212"/>
    <w:rsid w:val="004017F2"/>
    <w:rsid w:val="004044F2"/>
    <w:rsid w:val="004057F0"/>
    <w:rsid w:val="00405C50"/>
    <w:rsid w:val="00406000"/>
    <w:rsid w:val="00406B5C"/>
    <w:rsid w:val="004109EF"/>
    <w:rsid w:val="00411128"/>
    <w:rsid w:val="004129FC"/>
    <w:rsid w:val="00414240"/>
    <w:rsid w:val="004147C5"/>
    <w:rsid w:val="00414E79"/>
    <w:rsid w:val="00417E38"/>
    <w:rsid w:val="00422C59"/>
    <w:rsid w:val="00422FBE"/>
    <w:rsid w:val="00424556"/>
    <w:rsid w:val="00424B59"/>
    <w:rsid w:val="00424EE9"/>
    <w:rsid w:val="004254D8"/>
    <w:rsid w:val="00426C77"/>
    <w:rsid w:val="004302C2"/>
    <w:rsid w:val="004330A4"/>
    <w:rsid w:val="00433440"/>
    <w:rsid w:val="00435080"/>
    <w:rsid w:val="004352CE"/>
    <w:rsid w:val="00435355"/>
    <w:rsid w:val="004358E8"/>
    <w:rsid w:val="004362E6"/>
    <w:rsid w:val="00436AAA"/>
    <w:rsid w:val="0043770B"/>
    <w:rsid w:val="00437AB2"/>
    <w:rsid w:val="00437B8A"/>
    <w:rsid w:val="00441730"/>
    <w:rsid w:val="00441841"/>
    <w:rsid w:val="0044429B"/>
    <w:rsid w:val="00445805"/>
    <w:rsid w:val="004509BB"/>
    <w:rsid w:val="00450D55"/>
    <w:rsid w:val="00450FA7"/>
    <w:rsid w:val="00451995"/>
    <w:rsid w:val="00457D1F"/>
    <w:rsid w:val="00460E36"/>
    <w:rsid w:val="0046129C"/>
    <w:rsid w:val="004622DE"/>
    <w:rsid w:val="00462877"/>
    <w:rsid w:val="00464BEB"/>
    <w:rsid w:val="004654E2"/>
    <w:rsid w:val="00465E9E"/>
    <w:rsid w:val="00470666"/>
    <w:rsid w:val="00470CBD"/>
    <w:rsid w:val="00471E8E"/>
    <w:rsid w:val="004731DE"/>
    <w:rsid w:val="00476D46"/>
    <w:rsid w:val="00477A86"/>
    <w:rsid w:val="004803F7"/>
    <w:rsid w:val="004808B9"/>
    <w:rsid w:val="00481469"/>
    <w:rsid w:val="004827AE"/>
    <w:rsid w:val="0048319D"/>
    <w:rsid w:val="00483A35"/>
    <w:rsid w:val="00483DA9"/>
    <w:rsid w:val="00483ED5"/>
    <w:rsid w:val="00484B8B"/>
    <w:rsid w:val="0048696E"/>
    <w:rsid w:val="004874A9"/>
    <w:rsid w:val="00491720"/>
    <w:rsid w:val="004921AE"/>
    <w:rsid w:val="00492818"/>
    <w:rsid w:val="00492A3D"/>
    <w:rsid w:val="00493252"/>
    <w:rsid w:val="00493694"/>
    <w:rsid w:val="004940E8"/>
    <w:rsid w:val="00496173"/>
    <w:rsid w:val="004961F4"/>
    <w:rsid w:val="004A0C58"/>
    <w:rsid w:val="004A3E83"/>
    <w:rsid w:val="004B0D62"/>
    <w:rsid w:val="004B1683"/>
    <w:rsid w:val="004B29B5"/>
    <w:rsid w:val="004B5B2B"/>
    <w:rsid w:val="004B5D8A"/>
    <w:rsid w:val="004B5E43"/>
    <w:rsid w:val="004B62D7"/>
    <w:rsid w:val="004B6C22"/>
    <w:rsid w:val="004C0E12"/>
    <w:rsid w:val="004C13A0"/>
    <w:rsid w:val="004C2B95"/>
    <w:rsid w:val="004C314A"/>
    <w:rsid w:val="004C4080"/>
    <w:rsid w:val="004C57DD"/>
    <w:rsid w:val="004C6595"/>
    <w:rsid w:val="004C7514"/>
    <w:rsid w:val="004D0C53"/>
    <w:rsid w:val="004D2EF0"/>
    <w:rsid w:val="004D43FC"/>
    <w:rsid w:val="004D4A4B"/>
    <w:rsid w:val="004D7D26"/>
    <w:rsid w:val="004E1F2B"/>
    <w:rsid w:val="004E609A"/>
    <w:rsid w:val="004E7C44"/>
    <w:rsid w:val="004F080E"/>
    <w:rsid w:val="004F1116"/>
    <w:rsid w:val="004F1EF7"/>
    <w:rsid w:val="004F2391"/>
    <w:rsid w:val="004F27E9"/>
    <w:rsid w:val="004F3D90"/>
    <w:rsid w:val="004F4B37"/>
    <w:rsid w:val="004F6B0B"/>
    <w:rsid w:val="004F7F1D"/>
    <w:rsid w:val="00500D23"/>
    <w:rsid w:val="005045BC"/>
    <w:rsid w:val="00505116"/>
    <w:rsid w:val="005063D7"/>
    <w:rsid w:val="0050694E"/>
    <w:rsid w:val="00507E02"/>
    <w:rsid w:val="0051149A"/>
    <w:rsid w:val="00512A1B"/>
    <w:rsid w:val="00513D11"/>
    <w:rsid w:val="005151E3"/>
    <w:rsid w:val="00515E2C"/>
    <w:rsid w:val="0052066C"/>
    <w:rsid w:val="00520684"/>
    <w:rsid w:val="00520B76"/>
    <w:rsid w:val="0052170C"/>
    <w:rsid w:val="00521B1C"/>
    <w:rsid w:val="005222DD"/>
    <w:rsid w:val="00523613"/>
    <w:rsid w:val="00524582"/>
    <w:rsid w:val="00524D06"/>
    <w:rsid w:val="0052581F"/>
    <w:rsid w:val="005262FC"/>
    <w:rsid w:val="00527005"/>
    <w:rsid w:val="0053099B"/>
    <w:rsid w:val="005323B4"/>
    <w:rsid w:val="005326E7"/>
    <w:rsid w:val="00533D28"/>
    <w:rsid w:val="005347A8"/>
    <w:rsid w:val="00535EB0"/>
    <w:rsid w:val="005376AC"/>
    <w:rsid w:val="00541567"/>
    <w:rsid w:val="00541BF9"/>
    <w:rsid w:val="005450FF"/>
    <w:rsid w:val="005469F7"/>
    <w:rsid w:val="00552115"/>
    <w:rsid w:val="0055403D"/>
    <w:rsid w:val="005561B1"/>
    <w:rsid w:val="005601DC"/>
    <w:rsid w:val="00560A62"/>
    <w:rsid w:val="00560BCE"/>
    <w:rsid w:val="00560DB7"/>
    <w:rsid w:val="0056368D"/>
    <w:rsid w:val="00563B99"/>
    <w:rsid w:val="00565867"/>
    <w:rsid w:val="00565A2B"/>
    <w:rsid w:val="00565F09"/>
    <w:rsid w:val="005675EB"/>
    <w:rsid w:val="00567682"/>
    <w:rsid w:val="00567840"/>
    <w:rsid w:val="00567F4F"/>
    <w:rsid w:val="00570CE5"/>
    <w:rsid w:val="00571CC3"/>
    <w:rsid w:val="00573A42"/>
    <w:rsid w:val="0057611F"/>
    <w:rsid w:val="005819F4"/>
    <w:rsid w:val="0058269C"/>
    <w:rsid w:val="00582C0B"/>
    <w:rsid w:val="00583816"/>
    <w:rsid w:val="005840F4"/>
    <w:rsid w:val="00584487"/>
    <w:rsid w:val="005852D2"/>
    <w:rsid w:val="00586C1B"/>
    <w:rsid w:val="00593D76"/>
    <w:rsid w:val="00593E8F"/>
    <w:rsid w:val="00594FF0"/>
    <w:rsid w:val="0059593B"/>
    <w:rsid w:val="0059659C"/>
    <w:rsid w:val="00596CC6"/>
    <w:rsid w:val="00597611"/>
    <w:rsid w:val="005A0395"/>
    <w:rsid w:val="005A1152"/>
    <w:rsid w:val="005A1C89"/>
    <w:rsid w:val="005A7084"/>
    <w:rsid w:val="005A794A"/>
    <w:rsid w:val="005B2E15"/>
    <w:rsid w:val="005B510E"/>
    <w:rsid w:val="005B556A"/>
    <w:rsid w:val="005B5B5A"/>
    <w:rsid w:val="005B7321"/>
    <w:rsid w:val="005B79A2"/>
    <w:rsid w:val="005C011D"/>
    <w:rsid w:val="005C1EEA"/>
    <w:rsid w:val="005C2689"/>
    <w:rsid w:val="005C54C5"/>
    <w:rsid w:val="005C571F"/>
    <w:rsid w:val="005C6773"/>
    <w:rsid w:val="005D2FFA"/>
    <w:rsid w:val="005D3BE5"/>
    <w:rsid w:val="005D3F5C"/>
    <w:rsid w:val="005D430E"/>
    <w:rsid w:val="005D59BF"/>
    <w:rsid w:val="005D5CFA"/>
    <w:rsid w:val="005D72EF"/>
    <w:rsid w:val="005D7F3A"/>
    <w:rsid w:val="005E0EED"/>
    <w:rsid w:val="005E2D63"/>
    <w:rsid w:val="005E6EFB"/>
    <w:rsid w:val="005E708A"/>
    <w:rsid w:val="005E7125"/>
    <w:rsid w:val="005E7E96"/>
    <w:rsid w:val="005F005E"/>
    <w:rsid w:val="005F03A7"/>
    <w:rsid w:val="005F42E3"/>
    <w:rsid w:val="005F657A"/>
    <w:rsid w:val="005F7148"/>
    <w:rsid w:val="00601F1C"/>
    <w:rsid w:val="00605C12"/>
    <w:rsid w:val="00607027"/>
    <w:rsid w:val="0060778A"/>
    <w:rsid w:val="00611C65"/>
    <w:rsid w:val="00612EF5"/>
    <w:rsid w:val="00613019"/>
    <w:rsid w:val="00613D47"/>
    <w:rsid w:val="00613DB5"/>
    <w:rsid w:val="006154C7"/>
    <w:rsid w:val="006161D9"/>
    <w:rsid w:val="006163A8"/>
    <w:rsid w:val="006163FE"/>
    <w:rsid w:val="00616FE1"/>
    <w:rsid w:val="00622339"/>
    <w:rsid w:val="00622BD8"/>
    <w:rsid w:val="00623BC6"/>
    <w:rsid w:val="00624D83"/>
    <w:rsid w:val="0062534D"/>
    <w:rsid w:val="00627E85"/>
    <w:rsid w:val="00630172"/>
    <w:rsid w:val="00632163"/>
    <w:rsid w:val="00634A32"/>
    <w:rsid w:val="00635A1F"/>
    <w:rsid w:val="006360D3"/>
    <w:rsid w:val="00636D3E"/>
    <w:rsid w:val="0063749A"/>
    <w:rsid w:val="00644CEA"/>
    <w:rsid w:val="0064683D"/>
    <w:rsid w:val="006514E7"/>
    <w:rsid w:val="00652F6A"/>
    <w:rsid w:val="0065461E"/>
    <w:rsid w:val="00655325"/>
    <w:rsid w:val="00656FE7"/>
    <w:rsid w:val="0065717A"/>
    <w:rsid w:val="006573D7"/>
    <w:rsid w:val="006575BA"/>
    <w:rsid w:val="006576C5"/>
    <w:rsid w:val="006577BA"/>
    <w:rsid w:val="006604A1"/>
    <w:rsid w:val="00660F9C"/>
    <w:rsid w:val="006611C0"/>
    <w:rsid w:val="00661696"/>
    <w:rsid w:val="00663884"/>
    <w:rsid w:val="0066470F"/>
    <w:rsid w:val="0066531F"/>
    <w:rsid w:val="00665906"/>
    <w:rsid w:val="00666581"/>
    <w:rsid w:val="0066706F"/>
    <w:rsid w:val="00671952"/>
    <w:rsid w:val="0067533F"/>
    <w:rsid w:val="006762B6"/>
    <w:rsid w:val="00681533"/>
    <w:rsid w:val="00684C88"/>
    <w:rsid w:val="00686182"/>
    <w:rsid w:val="00690939"/>
    <w:rsid w:val="006910E3"/>
    <w:rsid w:val="00691404"/>
    <w:rsid w:val="00696C71"/>
    <w:rsid w:val="006A097B"/>
    <w:rsid w:val="006A3DF9"/>
    <w:rsid w:val="006A415A"/>
    <w:rsid w:val="006A48AE"/>
    <w:rsid w:val="006A4B5C"/>
    <w:rsid w:val="006A4EBB"/>
    <w:rsid w:val="006A77BE"/>
    <w:rsid w:val="006B072B"/>
    <w:rsid w:val="006B4E9A"/>
    <w:rsid w:val="006B6ABA"/>
    <w:rsid w:val="006B7579"/>
    <w:rsid w:val="006B7F2B"/>
    <w:rsid w:val="006C2DBB"/>
    <w:rsid w:val="006C4C27"/>
    <w:rsid w:val="006C560F"/>
    <w:rsid w:val="006C72E6"/>
    <w:rsid w:val="006D17D5"/>
    <w:rsid w:val="006D1E40"/>
    <w:rsid w:val="006D2242"/>
    <w:rsid w:val="006D352D"/>
    <w:rsid w:val="006D3F1B"/>
    <w:rsid w:val="006D686F"/>
    <w:rsid w:val="006E33AA"/>
    <w:rsid w:val="006E42CA"/>
    <w:rsid w:val="006E64F9"/>
    <w:rsid w:val="006E722A"/>
    <w:rsid w:val="006F0FAB"/>
    <w:rsid w:val="006F2D90"/>
    <w:rsid w:val="006F372E"/>
    <w:rsid w:val="006F3880"/>
    <w:rsid w:val="006F4246"/>
    <w:rsid w:val="006F44DB"/>
    <w:rsid w:val="006F55F8"/>
    <w:rsid w:val="006F5E4F"/>
    <w:rsid w:val="006F6AA0"/>
    <w:rsid w:val="007004C2"/>
    <w:rsid w:val="0070352A"/>
    <w:rsid w:val="0070379F"/>
    <w:rsid w:val="00705B5A"/>
    <w:rsid w:val="007074DA"/>
    <w:rsid w:val="00707AA0"/>
    <w:rsid w:val="00711D04"/>
    <w:rsid w:val="007259C8"/>
    <w:rsid w:val="00727A95"/>
    <w:rsid w:val="00732A58"/>
    <w:rsid w:val="00733238"/>
    <w:rsid w:val="0073331D"/>
    <w:rsid w:val="007335C8"/>
    <w:rsid w:val="007350AF"/>
    <w:rsid w:val="00736965"/>
    <w:rsid w:val="00743ECA"/>
    <w:rsid w:val="007442EB"/>
    <w:rsid w:val="00744E9F"/>
    <w:rsid w:val="00746A00"/>
    <w:rsid w:val="00747E24"/>
    <w:rsid w:val="00750223"/>
    <w:rsid w:val="00750F1C"/>
    <w:rsid w:val="00751C43"/>
    <w:rsid w:val="0075408F"/>
    <w:rsid w:val="00754F2F"/>
    <w:rsid w:val="0075600F"/>
    <w:rsid w:val="007563E1"/>
    <w:rsid w:val="00757417"/>
    <w:rsid w:val="00760CC8"/>
    <w:rsid w:val="007615C9"/>
    <w:rsid w:val="007620DB"/>
    <w:rsid w:val="00762996"/>
    <w:rsid w:val="00762D4F"/>
    <w:rsid w:val="00767D88"/>
    <w:rsid w:val="00770DDB"/>
    <w:rsid w:val="00772A42"/>
    <w:rsid w:val="0077337E"/>
    <w:rsid w:val="00773DDC"/>
    <w:rsid w:val="00774CF4"/>
    <w:rsid w:val="00774E08"/>
    <w:rsid w:val="007758A9"/>
    <w:rsid w:val="00776B8A"/>
    <w:rsid w:val="00783465"/>
    <w:rsid w:val="007848B9"/>
    <w:rsid w:val="0078547D"/>
    <w:rsid w:val="0078570B"/>
    <w:rsid w:val="00787184"/>
    <w:rsid w:val="007903BC"/>
    <w:rsid w:val="00791658"/>
    <w:rsid w:val="007925FD"/>
    <w:rsid w:val="00792613"/>
    <w:rsid w:val="00793FF4"/>
    <w:rsid w:val="0079441A"/>
    <w:rsid w:val="00796A8A"/>
    <w:rsid w:val="00796EB2"/>
    <w:rsid w:val="00797EF5"/>
    <w:rsid w:val="007A03F3"/>
    <w:rsid w:val="007A0DD3"/>
    <w:rsid w:val="007A3F3E"/>
    <w:rsid w:val="007A70A6"/>
    <w:rsid w:val="007B042B"/>
    <w:rsid w:val="007B0B01"/>
    <w:rsid w:val="007B2518"/>
    <w:rsid w:val="007B37D5"/>
    <w:rsid w:val="007B38F0"/>
    <w:rsid w:val="007B3F27"/>
    <w:rsid w:val="007B49CE"/>
    <w:rsid w:val="007B5054"/>
    <w:rsid w:val="007B5A89"/>
    <w:rsid w:val="007B696F"/>
    <w:rsid w:val="007C1F57"/>
    <w:rsid w:val="007C2CA5"/>
    <w:rsid w:val="007C3FED"/>
    <w:rsid w:val="007C40BF"/>
    <w:rsid w:val="007C4BF3"/>
    <w:rsid w:val="007D031B"/>
    <w:rsid w:val="007D231F"/>
    <w:rsid w:val="007D413B"/>
    <w:rsid w:val="007D7EE3"/>
    <w:rsid w:val="007E1611"/>
    <w:rsid w:val="007E1B9C"/>
    <w:rsid w:val="007E41B4"/>
    <w:rsid w:val="007E4DE3"/>
    <w:rsid w:val="007E5329"/>
    <w:rsid w:val="007F05FA"/>
    <w:rsid w:val="007F33F7"/>
    <w:rsid w:val="007F45B7"/>
    <w:rsid w:val="007F4715"/>
    <w:rsid w:val="007F4A55"/>
    <w:rsid w:val="007F591B"/>
    <w:rsid w:val="007F63DA"/>
    <w:rsid w:val="007F64F5"/>
    <w:rsid w:val="007F7E8E"/>
    <w:rsid w:val="00801095"/>
    <w:rsid w:val="00803E4C"/>
    <w:rsid w:val="008075B6"/>
    <w:rsid w:val="00810314"/>
    <w:rsid w:val="008103CB"/>
    <w:rsid w:val="0081054E"/>
    <w:rsid w:val="008141AA"/>
    <w:rsid w:val="0081452A"/>
    <w:rsid w:val="0081459A"/>
    <w:rsid w:val="00814DA4"/>
    <w:rsid w:val="0081568E"/>
    <w:rsid w:val="00815D63"/>
    <w:rsid w:val="008218B7"/>
    <w:rsid w:val="00821914"/>
    <w:rsid w:val="00822111"/>
    <w:rsid w:val="00823164"/>
    <w:rsid w:val="00823B54"/>
    <w:rsid w:val="008263B6"/>
    <w:rsid w:val="008300BF"/>
    <w:rsid w:val="00830D09"/>
    <w:rsid w:val="00831040"/>
    <w:rsid w:val="00833E3F"/>
    <w:rsid w:val="008355D6"/>
    <w:rsid w:val="00835CB4"/>
    <w:rsid w:val="00836741"/>
    <w:rsid w:val="00837A26"/>
    <w:rsid w:val="00841496"/>
    <w:rsid w:val="008422CB"/>
    <w:rsid w:val="00842724"/>
    <w:rsid w:val="00842B2A"/>
    <w:rsid w:val="00842D95"/>
    <w:rsid w:val="0084374B"/>
    <w:rsid w:val="0084715D"/>
    <w:rsid w:val="00847AF9"/>
    <w:rsid w:val="00850C9D"/>
    <w:rsid w:val="00851645"/>
    <w:rsid w:val="00852738"/>
    <w:rsid w:val="00852CA2"/>
    <w:rsid w:val="00852D6B"/>
    <w:rsid w:val="00853B07"/>
    <w:rsid w:val="00860F01"/>
    <w:rsid w:val="00860FB9"/>
    <w:rsid w:val="00863099"/>
    <w:rsid w:val="00864E05"/>
    <w:rsid w:val="008656D6"/>
    <w:rsid w:val="008664C6"/>
    <w:rsid w:val="008711B9"/>
    <w:rsid w:val="00871CE1"/>
    <w:rsid w:val="00872E64"/>
    <w:rsid w:val="00874AA9"/>
    <w:rsid w:val="00875023"/>
    <w:rsid w:val="008750E0"/>
    <w:rsid w:val="00877B1E"/>
    <w:rsid w:val="00877B71"/>
    <w:rsid w:val="00880C08"/>
    <w:rsid w:val="00881B43"/>
    <w:rsid w:val="00882E20"/>
    <w:rsid w:val="00883F57"/>
    <w:rsid w:val="008868B3"/>
    <w:rsid w:val="00886F7A"/>
    <w:rsid w:val="00890682"/>
    <w:rsid w:val="0089111B"/>
    <w:rsid w:val="0089373A"/>
    <w:rsid w:val="00893A23"/>
    <w:rsid w:val="00894B60"/>
    <w:rsid w:val="00895A74"/>
    <w:rsid w:val="00897AF6"/>
    <w:rsid w:val="008A0293"/>
    <w:rsid w:val="008A18B7"/>
    <w:rsid w:val="008A1FE4"/>
    <w:rsid w:val="008A3949"/>
    <w:rsid w:val="008A3FDF"/>
    <w:rsid w:val="008A4FC9"/>
    <w:rsid w:val="008A62C5"/>
    <w:rsid w:val="008A65A6"/>
    <w:rsid w:val="008A682D"/>
    <w:rsid w:val="008A7F6D"/>
    <w:rsid w:val="008B176E"/>
    <w:rsid w:val="008B235E"/>
    <w:rsid w:val="008B28AF"/>
    <w:rsid w:val="008B4A87"/>
    <w:rsid w:val="008B6798"/>
    <w:rsid w:val="008B78DD"/>
    <w:rsid w:val="008B7918"/>
    <w:rsid w:val="008B7A43"/>
    <w:rsid w:val="008B7BB0"/>
    <w:rsid w:val="008C0AAD"/>
    <w:rsid w:val="008C0C92"/>
    <w:rsid w:val="008C16FC"/>
    <w:rsid w:val="008C32DB"/>
    <w:rsid w:val="008C5BDD"/>
    <w:rsid w:val="008D1226"/>
    <w:rsid w:val="008D1FFE"/>
    <w:rsid w:val="008D4F0D"/>
    <w:rsid w:val="008D57B8"/>
    <w:rsid w:val="008D5BAB"/>
    <w:rsid w:val="008D6AF8"/>
    <w:rsid w:val="008D7AC4"/>
    <w:rsid w:val="008D7AD0"/>
    <w:rsid w:val="008E009C"/>
    <w:rsid w:val="008E0908"/>
    <w:rsid w:val="008E2DFF"/>
    <w:rsid w:val="008E5D59"/>
    <w:rsid w:val="008E728F"/>
    <w:rsid w:val="008F143D"/>
    <w:rsid w:val="008F2EC0"/>
    <w:rsid w:val="008F44F6"/>
    <w:rsid w:val="008F5833"/>
    <w:rsid w:val="008F5CE5"/>
    <w:rsid w:val="008F6203"/>
    <w:rsid w:val="008F6C7B"/>
    <w:rsid w:val="00901B8F"/>
    <w:rsid w:val="00903750"/>
    <w:rsid w:val="0090512B"/>
    <w:rsid w:val="00905935"/>
    <w:rsid w:val="00906C8C"/>
    <w:rsid w:val="00906F85"/>
    <w:rsid w:val="00907052"/>
    <w:rsid w:val="00911492"/>
    <w:rsid w:val="0091257F"/>
    <w:rsid w:val="00913CFD"/>
    <w:rsid w:val="009155C6"/>
    <w:rsid w:val="00921030"/>
    <w:rsid w:val="00921350"/>
    <w:rsid w:val="00924DA9"/>
    <w:rsid w:val="00925790"/>
    <w:rsid w:val="00930585"/>
    <w:rsid w:val="00930D42"/>
    <w:rsid w:val="0093164A"/>
    <w:rsid w:val="00931E2D"/>
    <w:rsid w:val="00933683"/>
    <w:rsid w:val="0093602C"/>
    <w:rsid w:val="00936D28"/>
    <w:rsid w:val="009407F9"/>
    <w:rsid w:val="00941579"/>
    <w:rsid w:val="00943955"/>
    <w:rsid w:val="00943F82"/>
    <w:rsid w:val="00944B8B"/>
    <w:rsid w:val="00944FB3"/>
    <w:rsid w:val="00951640"/>
    <w:rsid w:val="00951A27"/>
    <w:rsid w:val="00952C72"/>
    <w:rsid w:val="00953E52"/>
    <w:rsid w:val="00953F6A"/>
    <w:rsid w:val="00955FDD"/>
    <w:rsid w:val="009571AB"/>
    <w:rsid w:val="00961C12"/>
    <w:rsid w:val="00963718"/>
    <w:rsid w:val="00967456"/>
    <w:rsid w:val="0096777F"/>
    <w:rsid w:val="00973A54"/>
    <w:rsid w:val="00973D91"/>
    <w:rsid w:val="009748C3"/>
    <w:rsid w:val="00975D0A"/>
    <w:rsid w:val="0097603D"/>
    <w:rsid w:val="00982D12"/>
    <w:rsid w:val="00983C27"/>
    <w:rsid w:val="009843DC"/>
    <w:rsid w:val="00985D3D"/>
    <w:rsid w:val="0098607A"/>
    <w:rsid w:val="00986288"/>
    <w:rsid w:val="00987DEE"/>
    <w:rsid w:val="00987EBB"/>
    <w:rsid w:val="009901C1"/>
    <w:rsid w:val="009905E3"/>
    <w:rsid w:val="00994359"/>
    <w:rsid w:val="00994F50"/>
    <w:rsid w:val="00996AB4"/>
    <w:rsid w:val="009A012E"/>
    <w:rsid w:val="009A1696"/>
    <w:rsid w:val="009A3455"/>
    <w:rsid w:val="009A52DE"/>
    <w:rsid w:val="009B0E24"/>
    <w:rsid w:val="009B1372"/>
    <w:rsid w:val="009C0710"/>
    <w:rsid w:val="009C0888"/>
    <w:rsid w:val="009C1CE7"/>
    <w:rsid w:val="009C2E68"/>
    <w:rsid w:val="009C47CD"/>
    <w:rsid w:val="009C4C15"/>
    <w:rsid w:val="009C78C5"/>
    <w:rsid w:val="009D02C6"/>
    <w:rsid w:val="009D298C"/>
    <w:rsid w:val="009D32AD"/>
    <w:rsid w:val="009D3B77"/>
    <w:rsid w:val="009D4B2B"/>
    <w:rsid w:val="009D67B2"/>
    <w:rsid w:val="009D6B40"/>
    <w:rsid w:val="009E0474"/>
    <w:rsid w:val="009E346B"/>
    <w:rsid w:val="009E4405"/>
    <w:rsid w:val="009E4AFB"/>
    <w:rsid w:val="009E67DD"/>
    <w:rsid w:val="009F153D"/>
    <w:rsid w:val="009F172E"/>
    <w:rsid w:val="009F1F61"/>
    <w:rsid w:val="009F316C"/>
    <w:rsid w:val="009F7797"/>
    <w:rsid w:val="00A00F07"/>
    <w:rsid w:val="00A01FF4"/>
    <w:rsid w:val="00A02530"/>
    <w:rsid w:val="00A02729"/>
    <w:rsid w:val="00A0272B"/>
    <w:rsid w:val="00A05C98"/>
    <w:rsid w:val="00A0738A"/>
    <w:rsid w:val="00A1224A"/>
    <w:rsid w:val="00A13F67"/>
    <w:rsid w:val="00A14438"/>
    <w:rsid w:val="00A21207"/>
    <w:rsid w:val="00A23178"/>
    <w:rsid w:val="00A24752"/>
    <w:rsid w:val="00A26084"/>
    <w:rsid w:val="00A26894"/>
    <w:rsid w:val="00A27354"/>
    <w:rsid w:val="00A27678"/>
    <w:rsid w:val="00A27A29"/>
    <w:rsid w:val="00A30F72"/>
    <w:rsid w:val="00A311E7"/>
    <w:rsid w:val="00A31DBF"/>
    <w:rsid w:val="00A33088"/>
    <w:rsid w:val="00A41FBE"/>
    <w:rsid w:val="00A42CF8"/>
    <w:rsid w:val="00A446E4"/>
    <w:rsid w:val="00A522C4"/>
    <w:rsid w:val="00A52645"/>
    <w:rsid w:val="00A5474A"/>
    <w:rsid w:val="00A547D1"/>
    <w:rsid w:val="00A54E0B"/>
    <w:rsid w:val="00A6079A"/>
    <w:rsid w:val="00A622A3"/>
    <w:rsid w:val="00A63525"/>
    <w:rsid w:val="00A6453A"/>
    <w:rsid w:val="00A701A0"/>
    <w:rsid w:val="00A7032C"/>
    <w:rsid w:val="00A71E4C"/>
    <w:rsid w:val="00A72057"/>
    <w:rsid w:val="00A72C91"/>
    <w:rsid w:val="00A72E61"/>
    <w:rsid w:val="00A74887"/>
    <w:rsid w:val="00A75626"/>
    <w:rsid w:val="00A779A1"/>
    <w:rsid w:val="00A81558"/>
    <w:rsid w:val="00A830AF"/>
    <w:rsid w:val="00A85239"/>
    <w:rsid w:val="00A853C4"/>
    <w:rsid w:val="00A8685C"/>
    <w:rsid w:val="00A87463"/>
    <w:rsid w:val="00A9097A"/>
    <w:rsid w:val="00A9162C"/>
    <w:rsid w:val="00A9172F"/>
    <w:rsid w:val="00A92A90"/>
    <w:rsid w:val="00A92E0E"/>
    <w:rsid w:val="00A93B25"/>
    <w:rsid w:val="00A94B3C"/>
    <w:rsid w:val="00A9755E"/>
    <w:rsid w:val="00AA0846"/>
    <w:rsid w:val="00AA0C3B"/>
    <w:rsid w:val="00AA1350"/>
    <w:rsid w:val="00AA204B"/>
    <w:rsid w:val="00AA34C8"/>
    <w:rsid w:val="00AA4343"/>
    <w:rsid w:val="00AA5940"/>
    <w:rsid w:val="00AA6DF0"/>
    <w:rsid w:val="00AB015B"/>
    <w:rsid w:val="00AB0776"/>
    <w:rsid w:val="00AB166C"/>
    <w:rsid w:val="00AB19E1"/>
    <w:rsid w:val="00AB4971"/>
    <w:rsid w:val="00AB5B5F"/>
    <w:rsid w:val="00AC1E03"/>
    <w:rsid w:val="00AC3ADA"/>
    <w:rsid w:val="00AC47EE"/>
    <w:rsid w:val="00AC5267"/>
    <w:rsid w:val="00AC5509"/>
    <w:rsid w:val="00AC7609"/>
    <w:rsid w:val="00AC7635"/>
    <w:rsid w:val="00AC77F6"/>
    <w:rsid w:val="00AC78D4"/>
    <w:rsid w:val="00AD0E77"/>
    <w:rsid w:val="00AD2228"/>
    <w:rsid w:val="00AD22BE"/>
    <w:rsid w:val="00AD58FA"/>
    <w:rsid w:val="00AD6CB6"/>
    <w:rsid w:val="00AD767F"/>
    <w:rsid w:val="00AE0455"/>
    <w:rsid w:val="00AE0BF5"/>
    <w:rsid w:val="00AE62E9"/>
    <w:rsid w:val="00AE7202"/>
    <w:rsid w:val="00AE7355"/>
    <w:rsid w:val="00AE7463"/>
    <w:rsid w:val="00AF070A"/>
    <w:rsid w:val="00AF0ABF"/>
    <w:rsid w:val="00AF1703"/>
    <w:rsid w:val="00AF1C36"/>
    <w:rsid w:val="00AF2C71"/>
    <w:rsid w:val="00AF2FE2"/>
    <w:rsid w:val="00AF4F1E"/>
    <w:rsid w:val="00AF7770"/>
    <w:rsid w:val="00B033EA"/>
    <w:rsid w:val="00B050A3"/>
    <w:rsid w:val="00B05AE4"/>
    <w:rsid w:val="00B065D5"/>
    <w:rsid w:val="00B1076E"/>
    <w:rsid w:val="00B12A77"/>
    <w:rsid w:val="00B1328A"/>
    <w:rsid w:val="00B1405E"/>
    <w:rsid w:val="00B14EE8"/>
    <w:rsid w:val="00B155BB"/>
    <w:rsid w:val="00B15C95"/>
    <w:rsid w:val="00B23283"/>
    <w:rsid w:val="00B23EE7"/>
    <w:rsid w:val="00B2475D"/>
    <w:rsid w:val="00B25CF8"/>
    <w:rsid w:val="00B26FAD"/>
    <w:rsid w:val="00B27E53"/>
    <w:rsid w:val="00B30242"/>
    <w:rsid w:val="00B31E8D"/>
    <w:rsid w:val="00B33A5E"/>
    <w:rsid w:val="00B34FEF"/>
    <w:rsid w:val="00B3679B"/>
    <w:rsid w:val="00B36C38"/>
    <w:rsid w:val="00B371D2"/>
    <w:rsid w:val="00B40473"/>
    <w:rsid w:val="00B40C0B"/>
    <w:rsid w:val="00B4156B"/>
    <w:rsid w:val="00B41709"/>
    <w:rsid w:val="00B432F4"/>
    <w:rsid w:val="00B46974"/>
    <w:rsid w:val="00B474B1"/>
    <w:rsid w:val="00B54037"/>
    <w:rsid w:val="00B565A1"/>
    <w:rsid w:val="00B60253"/>
    <w:rsid w:val="00B610F7"/>
    <w:rsid w:val="00B620BB"/>
    <w:rsid w:val="00B62886"/>
    <w:rsid w:val="00B63643"/>
    <w:rsid w:val="00B64481"/>
    <w:rsid w:val="00B675B5"/>
    <w:rsid w:val="00B7169A"/>
    <w:rsid w:val="00B72336"/>
    <w:rsid w:val="00B72739"/>
    <w:rsid w:val="00B73318"/>
    <w:rsid w:val="00B73A1D"/>
    <w:rsid w:val="00B74ACC"/>
    <w:rsid w:val="00B75E22"/>
    <w:rsid w:val="00B82F4F"/>
    <w:rsid w:val="00B8630B"/>
    <w:rsid w:val="00B928E1"/>
    <w:rsid w:val="00B92CDB"/>
    <w:rsid w:val="00BA001E"/>
    <w:rsid w:val="00BA01BB"/>
    <w:rsid w:val="00BA07B9"/>
    <w:rsid w:val="00BA07D5"/>
    <w:rsid w:val="00BA478C"/>
    <w:rsid w:val="00BA6109"/>
    <w:rsid w:val="00BA6BBC"/>
    <w:rsid w:val="00BA7218"/>
    <w:rsid w:val="00BB0F3F"/>
    <w:rsid w:val="00BB2485"/>
    <w:rsid w:val="00BB26B3"/>
    <w:rsid w:val="00BB293B"/>
    <w:rsid w:val="00BB2E43"/>
    <w:rsid w:val="00BB3C19"/>
    <w:rsid w:val="00BB6233"/>
    <w:rsid w:val="00BB72DE"/>
    <w:rsid w:val="00BB7984"/>
    <w:rsid w:val="00BC1E18"/>
    <w:rsid w:val="00BC5674"/>
    <w:rsid w:val="00BC56A7"/>
    <w:rsid w:val="00BC5812"/>
    <w:rsid w:val="00BC66FB"/>
    <w:rsid w:val="00BC78AA"/>
    <w:rsid w:val="00BC7E19"/>
    <w:rsid w:val="00BD413A"/>
    <w:rsid w:val="00BD4F60"/>
    <w:rsid w:val="00BD66B6"/>
    <w:rsid w:val="00BD711A"/>
    <w:rsid w:val="00BD7615"/>
    <w:rsid w:val="00BD7D39"/>
    <w:rsid w:val="00BD7DDF"/>
    <w:rsid w:val="00BE0216"/>
    <w:rsid w:val="00BE0293"/>
    <w:rsid w:val="00BE0317"/>
    <w:rsid w:val="00BE1545"/>
    <w:rsid w:val="00BE2D75"/>
    <w:rsid w:val="00BE39DE"/>
    <w:rsid w:val="00BE4E39"/>
    <w:rsid w:val="00BE5A7B"/>
    <w:rsid w:val="00BE5C1A"/>
    <w:rsid w:val="00BE692B"/>
    <w:rsid w:val="00BE6956"/>
    <w:rsid w:val="00BF04D5"/>
    <w:rsid w:val="00BF6712"/>
    <w:rsid w:val="00BF6F00"/>
    <w:rsid w:val="00BF78B9"/>
    <w:rsid w:val="00C00B9E"/>
    <w:rsid w:val="00C03309"/>
    <w:rsid w:val="00C066C9"/>
    <w:rsid w:val="00C06D01"/>
    <w:rsid w:val="00C1036E"/>
    <w:rsid w:val="00C123E0"/>
    <w:rsid w:val="00C126F2"/>
    <w:rsid w:val="00C12798"/>
    <w:rsid w:val="00C14569"/>
    <w:rsid w:val="00C20BEC"/>
    <w:rsid w:val="00C2292D"/>
    <w:rsid w:val="00C23646"/>
    <w:rsid w:val="00C253B8"/>
    <w:rsid w:val="00C30F63"/>
    <w:rsid w:val="00C35920"/>
    <w:rsid w:val="00C4118B"/>
    <w:rsid w:val="00C41A21"/>
    <w:rsid w:val="00C4378E"/>
    <w:rsid w:val="00C45BFE"/>
    <w:rsid w:val="00C46798"/>
    <w:rsid w:val="00C506C8"/>
    <w:rsid w:val="00C51B2B"/>
    <w:rsid w:val="00C52BE9"/>
    <w:rsid w:val="00C532EB"/>
    <w:rsid w:val="00C5433D"/>
    <w:rsid w:val="00C55F4B"/>
    <w:rsid w:val="00C565C9"/>
    <w:rsid w:val="00C60A27"/>
    <w:rsid w:val="00C62EB9"/>
    <w:rsid w:val="00C63AA1"/>
    <w:rsid w:val="00C64551"/>
    <w:rsid w:val="00C74597"/>
    <w:rsid w:val="00C747EF"/>
    <w:rsid w:val="00C74A72"/>
    <w:rsid w:val="00C74FA4"/>
    <w:rsid w:val="00C753F5"/>
    <w:rsid w:val="00C75CD3"/>
    <w:rsid w:val="00C76190"/>
    <w:rsid w:val="00C80098"/>
    <w:rsid w:val="00C8024A"/>
    <w:rsid w:val="00C817D5"/>
    <w:rsid w:val="00C8185D"/>
    <w:rsid w:val="00C82408"/>
    <w:rsid w:val="00C82782"/>
    <w:rsid w:val="00C83AFC"/>
    <w:rsid w:val="00C86294"/>
    <w:rsid w:val="00C86438"/>
    <w:rsid w:val="00C86A48"/>
    <w:rsid w:val="00C86E09"/>
    <w:rsid w:val="00C87C33"/>
    <w:rsid w:val="00C92C24"/>
    <w:rsid w:val="00C95918"/>
    <w:rsid w:val="00C9639E"/>
    <w:rsid w:val="00C9672E"/>
    <w:rsid w:val="00CA656E"/>
    <w:rsid w:val="00CA7617"/>
    <w:rsid w:val="00CB2D41"/>
    <w:rsid w:val="00CB3045"/>
    <w:rsid w:val="00CB48CE"/>
    <w:rsid w:val="00CC06B7"/>
    <w:rsid w:val="00CC3434"/>
    <w:rsid w:val="00CC3473"/>
    <w:rsid w:val="00CC3D5F"/>
    <w:rsid w:val="00CC5AD8"/>
    <w:rsid w:val="00CC62F3"/>
    <w:rsid w:val="00CC6CB4"/>
    <w:rsid w:val="00CC7A9F"/>
    <w:rsid w:val="00CD19EA"/>
    <w:rsid w:val="00CD235D"/>
    <w:rsid w:val="00CD25C4"/>
    <w:rsid w:val="00CD2A1C"/>
    <w:rsid w:val="00CD3921"/>
    <w:rsid w:val="00CD3AF6"/>
    <w:rsid w:val="00CD4891"/>
    <w:rsid w:val="00CD6715"/>
    <w:rsid w:val="00CD6E5D"/>
    <w:rsid w:val="00CD72FD"/>
    <w:rsid w:val="00CD7775"/>
    <w:rsid w:val="00CD7FF4"/>
    <w:rsid w:val="00CE0377"/>
    <w:rsid w:val="00CE323F"/>
    <w:rsid w:val="00CE33EE"/>
    <w:rsid w:val="00CE405D"/>
    <w:rsid w:val="00CE7D73"/>
    <w:rsid w:val="00CF0657"/>
    <w:rsid w:val="00CF06C7"/>
    <w:rsid w:val="00CF3D13"/>
    <w:rsid w:val="00CF4870"/>
    <w:rsid w:val="00CF4990"/>
    <w:rsid w:val="00CF5779"/>
    <w:rsid w:val="00CF5FA0"/>
    <w:rsid w:val="00CF6A55"/>
    <w:rsid w:val="00CF72FB"/>
    <w:rsid w:val="00D00180"/>
    <w:rsid w:val="00D014E2"/>
    <w:rsid w:val="00D023F5"/>
    <w:rsid w:val="00D0250C"/>
    <w:rsid w:val="00D035CA"/>
    <w:rsid w:val="00D047E7"/>
    <w:rsid w:val="00D04925"/>
    <w:rsid w:val="00D04F04"/>
    <w:rsid w:val="00D04FC2"/>
    <w:rsid w:val="00D05B1E"/>
    <w:rsid w:val="00D06172"/>
    <w:rsid w:val="00D06436"/>
    <w:rsid w:val="00D0705C"/>
    <w:rsid w:val="00D07FD6"/>
    <w:rsid w:val="00D11C2C"/>
    <w:rsid w:val="00D16E6A"/>
    <w:rsid w:val="00D17405"/>
    <w:rsid w:val="00D177F7"/>
    <w:rsid w:val="00D216FD"/>
    <w:rsid w:val="00D247CD"/>
    <w:rsid w:val="00D24B10"/>
    <w:rsid w:val="00D2535C"/>
    <w:rsid w:val="00D254B7"/>
    <w:rsid w:val="00D26635"/>
    <w:rsid w:val="00D26B76"/>
    <w:rsid w:val="00D26D67"/>
    <w:rsid w:val="00D277EB"/>
    <w:rsid w:val="00D30455"/>
    <w:rsid w:val="00D3229C"/>
    <w:rsid w:val="00D327A4"/>
    <w:rsid w:val="00D338CA"/>
    <w:rsid w:val="00D339B1"/>
    <w:rsid w:val="00D3428B"/>
    <w:rsid w:val="00D34A79"/>
    <w:rsid w:val="00D34A87"/>
    <w:rsid w:val="00D34B9C"/>
    <w:rsid w:val="00D36D04"/>
    <w:rsid w:val="00D41A58"/>
    <w:rsid w:val="00D42652"/>
    <w:rsid w:val="00D42DC6"/>
    <w:rsid w:val="00D44E33"/>
    <w:rsid w:val="00D45055"/>
    <w:rsid w:val="00D45246"/>
    <w:rsid w:val="00D46FD7"/>
    <w:rsid w:val="00D475B7"/>
    <w:rsid w:val="00D47801"/>
    <w:rsid w:val="00D50085"/>
    <w:rsid w:val="00D503A8"/>
    <w:rsid w:val="00D503A9"/>
    <w:rsid w:val="00D522A0"/>
    <w:rsid w:val="00D6343D"/>
    <w:rsid w:val="00D64C5A"/>
    <w:rsid w:val="00D66102"/>
    <w:rsid w:val="00D67481"/>
    <w:rsid w:val="00D70AC3"/>
    <w:rsid w:val="00D71075"/>
    <w:rsid w:val="00D7314E"/>
    <w:rsid w:val="00D740F5"/>
    <w:rsid w:val="00D74406"/>
    <w:rsid w:val="00D74567"/>
    <w:rsid w:val="00D75E07"/>
    <w:rsid w:val="00D762B8"/>
    <w:rsid w:val="00D81401"/>
    <w:rsid w:val="00D85431"/>
    <w:rsid w:val="00D867C5"/>
    <w:rsid w:val="00D90C17"/>
    <w:rsid w:val="00D97111"/>
    <w:rsid w:val="00D97877"/>
    <w:rsid w:val="00DA0C68"/>
    <w:rsid w:val="00DA1DB0"/>
    <w:rsid w:val="00DA21CA"/>
    <w:rsid w:val="00DA27AA"/>
    <w:rsid w:val="00DA2E06"/>
    <w:rsid w:val="00DA40FD"/>
    <w:rsid w:val="00DA5327"/>
    <w:rsid w:val="00DB1C8C"/>
    <w:rsid w:val="00DB20D1"/>
    <w:rsid w:val="00DB395A"/>
    <w:rsid w:val="00DB4486"/>
    <w:rsid w:val="00DB456F"/>
    <w:rsid w:val="00DB5431"/>
    <w:rsid w:val="00DB6AED"/>
    <w:rsid w:val="00DB79CE"/>
    <w:rsid w:val="00DC3B07"/>
    <w:rsid w:val="00DC6A7A"/>
    <w:rsid w:val="00DC6CED"/>
    <w:rsid w:val="00DC781E"/>
    <w:rsid w:val="00DC78EA"/>
    <w:rsid w:val="00DD4621"/>
    <w:rsid w:val="00DD4726"/>
    <w:rsid w:val="00DD5B41"/>
    <w:rsid w:val="00DD78BE"/>
    <w:rsid w:val="00DE060F"/>
    <w:rsid w:val="00DE0FC0"/>
    <w:rsid w:val="00DE16C2"/>
    <w:rsid w:val="00DE1D76"/>
    <w:rsid w:val="00DE20DF"/>
    <w:rsid w:val="00DE2B50"/>
    <w:rsid w:val="00DE35A9"/>
    <w:rsid w:val="00DE387A"/>
    <w:rsid w:val="00DE4A42"/>
    <w:rsid w:val="00DE5473"/>
    <w:rsid w:val="00DF2F4A"/>
    <w:rsid w:val="00DF4B53"/>
    <w:rsid w:val="00DF5333"/>
    <w:rsid w:val="00DF5493"/>
    <w:rsid w:val="00DF679E"/>
    <w:rsid w:val="00DF6801"/>
    <w:rsid w:val="00DF6DB2"/>
    <w:rsid w:val="00DF79AB"/>
    <w:rsid w:val="00E0110F"/>
    <w:rsid w:val="00E0182F"/>
    <w:rsid w:val="00E0323C"/>
    <w:rsid w:val="00E03ABB"/>
    <w:rsid w:val="00E03AC6"/>
    <w:rsid w:val="00E04EA5"/>
    <w:rsid w:val="00E05116"/>
    <w:rsid w:val="00E058B1"/>
    <w:rsid w:val="00E07E1B"/>
    <w:rsid w:val="00E10DFE"/>
    <w:rsid w:val="00E1172E"/>
    <w:rsid w:val="00E1434F"/>
    <w:rsid w:val="00E165F2"/>
    <w:rsid w:val="00E16BDF"/>
    <w:rsid w:val="00E17C5A"/>
    <w:rsid w:val="00E17D24"/>
    <w:rsid w:val="00E236DD"/>
    <w:rsid w:val="00E251AD"/>
    <w:rsid w:val="00E26557"/>
    <w:rsid w:val="00E30DFB"/>
    <w:rsid w:val="00E30E82"/>
    <w:rsid w:val="00E32C17"/>
    <w:rsid w:val="00E34411"/>
    <w:rsid w:val="00E34A26"/>
    <w:rsid w:val="00E35F98"/>
    <w:rsid w:val="00E40929"/>
    <w:rsid w:val="00E410EF"/>
    <w:rsid w:val="00E460C2"/>
    <w:rsid w:val="00E52245"/>
    <w:rsid w:val="00E52C54"/>
    <w:rsid w:val="00E548E0"/>
    <w:rsid w:val="00E57383"/>
    <w:rsid w:val="00E602C5"/>
    <w:rsid w:val="00E60431"/>
    <w:rsid w:val="00E62337"/>
    <w:rsid w:val="00E62EE8"/>
    <w:rsid w:val="00E62F5A"/>
    <w:rsid w:val="00E630A6"/>
    <w:rsid w:val="00E639E4"/>
    <w:rsid w:val="00E64676"/>
    <w:rsid w:val="00E64F8A"/>
    <w:rsid w:val="00E66D04"/>
    <w:rsid w:val="00E738D4"/>
    <w:rsid w:val="00E73C8A"/>
    <w:rsid w:val="00E75307"/>
    <w:rsid w:val="00E75AFC"/>
    <w:rsid w:val="00E75CD9"/>
    <w:rsid w:val="00E7677E"/>
    <w:rsid w:val="00E77C06"/>
    <w:rsid w:val="00E849ED"/>
    <w:rsid w:val="00E84AFD"/>
    <w:rsid w:val="00E84DB5"/>
    <w:rsid w:val="00E92838"/>
    <w:rsid w:val="00E962A2"/>
    <w:rsid w:val="00E96886"/>
    <w:rsid w:val="00E9784E"/>
    <w:rsid w:val="00EA042E"/>
    <w:rsid w:val="00EA2490"/>
    <w:rsid w:val="00EA2663"/>
    <w:rsid w:val="00EA36BE"/>
    <w:rsid w:val="00EA5298"/>
    <w:rsid w:val="00EB064B"/>
    <w:rsid w:val="00EB71AC"/>
    <w:rsid w:val="00EC11D4"/>
    <w:rsid w:val="00EC2990"/>
    <w:rsid w:val="00EC4BEF"/>
    <w:rsid w:val="00EC5D23"/>
    <w:rsid w:val="00EC6F19"/>
    <w:rsid w:val="00EC7140"/>
    <w:rsid w:val="00ED096E"/>
    <w:rsid w:val="00ED19CC"/>
    <w:rsid w:val="00ED2945"/>
    <w:rsid w:val="00ED2DF0"/>
    <w:rsid w:val="00ED3361"/>
    <w:rsid w:val="00ED41D4"/>
    <w:rsid w:val="00ED5374"/>
    <w:rsid w:val="00ED73E3"/>
    <w:rsid w:val="00ED7B5B"/>
    <w:rsid w:val="00EE0381"/>
    <w:rsid w:val="00EE22AA"/>
    <w:rsid w:val="00EE2D62"/>
    <w:rsid w:val="00EE35C9"/>
    <w:rsid w:val="00EE4261"/>
    <w:rsid w:val="00EF0261"/>
    <w:rsid w:val="00EF403E"/>
    <w:rsid w:val="00EF4325"/>
    <w:rsid w:val="00EF44C7"/>
    <w:rsid w:val="00EF458C"/>
    <w:rsid w:val="00EF5C1D"/>
    <w:rsid w:val="00EF5EEC"/>
    <w:rsid w:val="00EF60E0"/>
    <w:rsid w:val="00EF6A01"/>
    <w:rsid w:val="00F00FBD"/>
    <w:rsid w:val="00F0122C"/>
    <w:rsid w:val="00F0333C"/>
    <w:rsid w:val="00F04568"/>
    <w:rsid w:val="00F0678A"/>
    <w:rsid w:val="00F06885"/>
    <w:rsid w:val="00F0785D"/>
    <w:rsid w:val="00F10B18"/>
    <w:rsid w:val="00F115AC"/>
    <w:rsid w:val="00F11766"/>
    <w:rsid w:val="00F12FAE"/>
    <w:rsid w:val="00F151B3"/>
    <w:rsid w:val="00F15B29"/>
    <w:rsid w:val="00F163A7"/>
    <w:rsid w:val="00F16CDD"/>
    <w:rsid w:val="00F17ACB"/>
    <w:rsid w:val="00F2182C"/>
    <w:rsid w:val="00F21C58"/>
    <w:rsid w:val="00F21EE5"/>
    <w:rsid w:val="00F2352D"/>
    <w:rsid w:val="00F255BF"/>
    <w:rsid w:val="00F2659C"/>
    <w:rsid w:val="00F26F81"/>
    <w:rsid w:val="00F27B78"/>
    <w:rsid w:val="00F304D8"/>
    <w:rsid w:val="00F315EE"/>
    <w:rsid w:val="00F32479"/>
    <w:rsid w:val="00F329E4"/>
    <w:rsid w:val="00F35199"/>
    <w:rsid w:val="00F37E74"/>
    <w:rsid w:val="00F401A7"/>
    <w:rsid w:val="00F419DA"/>
    <w:rsid w:val="00F42E3E"/>
    <w:rsid w:val="00F43765"/>
    <w:rsid w:val="00F43829"/>
    <w:rsid w:val="00F47780"/>
    <w:rsid w:val="00F5118E"/>
    <w:rsid w:val="00F52174"/>
    <w:rsid w:val="00F52C60"/>
    <w:rsid w:val="00F536B2"/>
    <w:rsid w:val="00F56067"/>
    <w:rsid w:val="00F57029"/>
    <w:rsid w:val="00F60D3C"/>
    <w:rsid w:val="00F60E1C"/>
    <w:rsid w:val="00F6303F"/>
    <w:rsid w:val="00F634D7"/>
    <w:rsid w:val="00F6471C"/>
    <w:rsid w:val="00F64F67"/>
    <w:rsid w:val="00F669F9"/>
    <w:rsid w:val="00F66A30"/>
    <w:rsid w:val="00F66C04"/>
    <w:rsid w:val="00F6731C"/>
    <w:rsid w:val="00F7074C"/>
    <w:rsid w:val="00F7099D"/>
    <w:rsid w:val="00F716E8"/>
    <w:rsid w:val="00F717E1"/>
    <w:rsid w:val="00F728AB"/>
    <w:rsid w:val="00F72B49"/>
    <w:rsid w:val="00F74F58"/>
    <w:rsid w:val="00F75CEA"/>
    <w:rsid w:val="00F7655E"/>
    <w:rsid w:val="00F811F7"/>
    <w:rsid w:val="00F819E7"/>
    <w:rsid w:val="00F82302"/>
    <w:rsid w:val="00F856C1"/>
    <w:rsid w:val="00F85BFF"/>
    <w:rsid w:val="00F86E7D"/>
    <w:rsid w:val="00F90586"/>
    <w:rsid w:val="00F91A57"/>
    <w:rsid w:val="00F92D01"/>
    <w:rsid w:val="00F93209"/>
    <w:rsid w:val="00F94164"/>
    <w:rsid w:val="00F963CD"/>
    <w:rsid w:val="00F9647B"/>
    <w:rsid w:val="00F978BD"/>
    <w:rsid w:val="00FA1566"/>
    <w:rsid w:val="00FA1AC5"/>
    <w:rsid w:val="00FA1FE8"/>
    <w:rsid w:val="00FA2538"/>
    <w:rsid w:val="00FA26E6"/>
    <w:rsid w:val="00FA4A83"/>
    <w:rsid w:val="00FA4BE9"/>
    <w:rsid w:val="00FA691F"/>
    <w:rsid w:val="00FA6C7A"/>
    <w:rsid w:val="00FB5BC5"/>
    <w:rsid w:val="00FB65BA"/>
    <w:rsid w:val="00FB6E08"/>
    <w:rsid w:val="00FB76AF"/>
    <w:rsid w:val="00FB77D4"/>
    <w:rsid w:val="00FC0B87"/>
    <w:rsid w:val="00FC15F0"/>
    <w:rsid w:val="00FC207B"/>
    <w:rsid w:val="00FC34A0"/>
    <w:rsid w:val="00FC3C8C"/>
    <w:rsid w:val="00FC4338"/>
    <w:rsid w:val="00FC4A1E"/>
    <w:rsid w:val="00FC62AE"/>
    <w:rsid w:val="00FC688D"/>
    <w:rsid w:val="00FC7949"/>
    <w:rsid w:val="00FD0A98"/>
    <w:rsid w:val="00FD166D"/>
    <w:rsid w:val="00FD3AE0"/>
    <w:rsid w:val="00FD603C"/>
    <w:rsid w:val="00FD73DF"/>
    <w:rsid w:val="00FE025B"/>
    <w:rsid w:val="00FE373E"/>
    <w:rsid w:val="00FE58FE"/>
    <w:rsid w:val="00FE5AB2"/>
    <w:rsid w:val="00FE77D2"/>
    <w:rsid w:val="00FF1CE8"/>
    <w:rsid w:val="00FF24BB"/>
    <w:rsid w:val="00FF2A47"/>
    <w:rsid w:val="00FF506A"/>
    <w:rsid w:val="00FF5A14"/>
    <w:rsid w:val="00FF6DD6"/>
    <w:rsid w:val="00FF7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2CCA1D7F"/>
  <w15:docId w15:val="{4B43D7F2-BFD3-4F50-8FF0-3EA5727D8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692B"/>
    <w:rPr>
      <w:sz w:val="24"/>
    </w:rPr>
  </w:style>
  <w:style w:type="paragraph" w:styleId="Heading1">
    <w:name w:val="heading 1"/>
    <w:basedOn w:val="Normal"/>
    <w:next w:val="Normal"/>
    <w:qFormat/>
    <w:rsid w:val="00BE692B"/>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692B"/>
    <w:pPr>
      <w:spacing w:line="360" w:lineRule="auto"/>
      <w:jc w:val="both"/>
    </w:pPr>
    <w:rPr>
      <w:bCs/>
    </w:rPr>
  </w:style>
  <w:style w:type="paragraph" w:styleId="Header">
    <w:name w:val="header"/>
    <w:basedOn w:val="Normal"/>
    <w:link w:val="HeaderChar"/>
    <w:uiPriority w:val="99"/>
    <w:rsid w:val="00BE692B"/>
    <w:pPr>
      <w:tabs>
        <w:tab w:val="center" w:pos="4320"/>
        <w:tab w:val="right" w:pos="8640"/>
      </w:tabs>
    </w:pPr>
  </w:style>
  <w:style w:type="paragraph" w:styleId="Footer">
    <w:name w:val="footer"/>
    <w:basedOn w:val="Normal"/>
    <w:rsid w:val="00BE692B"/>
    <w:pPr>
      <w:tabs>
        <w:tab w:val="center" w:pos="4320"/>
        <w:tab w:val="right" w:pos="8640"/>
      </w:tabs>
    </w:pPr>
  </w:style>
  <w:style w:type="character" w:styleId="PageNumber">
    <w:name w:val="page number"/>
    <w:basedOn w:val="DefaultParagraphFont"/>
    <w:rsid w:val="00BE692B"/>
  </w:style>
  <w:style w:type="paragraph" w:styleId="BalloonText">
    <w:name w:val="Balloon Text"/>
    <w:basedOn w:val="Normal"/>
    <w:semiHidden/>
    <w:rsid w:val="00BE692B"/>
    <w:rPr>
      <w:rFonts w:ascii="Tahoma" w:hAnsi="Tahoma" w:cs="Tahoma"/>
      <w:sz w:val="16"/>
      <w:szCs w:val="16"/>
    </w:rPr>
  </w:style>
  <w:style w:type="character" w:customStyle="1" w:styleId="EmailStyle201">
    <w:name w:val="EmailStyle201"/>
    <w:basedOn w:val="DefaultParagraphFont"/>
    <w:semiHidden/>
    <w:rsid w:val="00BE692B"/>
    <w:rPr>
      <w:rFonts w:ascii="Arial" w:hAnsi="Arial" w:cs="Arial"/>
      <w:color w:val="000080"/>
      <w:sz w:val="20"/>
    </w:rPr>
  </w:style>
  <w:style w:type="paragraph" w:styleId="ListParagraph">
    <w:name w:val="List Paragraph"/>
    <w:basedOn w:val="Normal"/>
    <w:uiPriority w:val="34"/>
    <w:qFormat/>
    <w:rsid w:val="008A3FDF"/>
    <w:pPr>
      <w:ind w:left="720"/>
      <w:contextualSpacing/>
    </w:pPr>
  </w:style>
  <w:style w:type="character" w:customStyle="1" w:styleId="HeaderChar">
    <w:name w:val="Header Char"/>
    <w:basedOn w:val="DefaultParagraphFont"/>
    <w:link w:val="Header"/>
    <w:uiPriority w:val="99"/>
    <w:rsid w:val="00941579"/>
    <w:rPr>
      <w:sz w:val="24"/>
    </w:rPr>
  </w:style>
  <w:style w:type="character" w:customStyle="1" w:styleId="apple-tab-span">
    <w:name w:val="apple-tab-span"/>
    <w:basedOn w:val="DefaultParagraphFont"/>
    <w:rsid w:val="004B62D7"/>
  </w:style>
  <w:style w:type="character" w:styleId="Hyperlink">
    <w:name w:val="Hyperlink"/>
    <w:basedOn w:val="DefaultParagraphFont"/>
    <w:rsid w:val="001A23E0"/>
    <w:rPr>
      <w:color w:val="6B9F25" w:themeColor="hyperlink"/>
      <w:u w:val="single"/>
    </w:rPr>
  </w:style>
  <w:style w:type="character" w:styleId="CommentReference">
    <w:name w:val="annotation reference"/>
    <w:basedOn w:val="DefaultParagraphFont"/>
    <w:uiPriority w:val="99"/>
    <w:rsid w:val="00D07FD6"/>
    <w:rPr>
      <w:sz w:val="16"/>
      <w:szCs w:val="16"/>
    </w:rPr>
  </w:style>
  <w:style w:type="paragraph" w:styleId="CommentText">
    <w:name w:val="annotation text"/>
    <w:basedOn w:val="Normal"/>
    <w:link w:val="CommentTextChar"/>
    <w:rsid w:val="00D07FD6"/>
    <w:rPr>
      <w:sz w:val="20"/>
    </w:rPr>
  </w:style>
  <w:style w:type="character" w:customStyle="1" w:styleId="CommentTextChar">
    <w:name w:val="Comment Text Char"/>
    <w:basedOn w:val="DefaultParagraphFont"/>
    <w:link w:val="CommentText"/>
    <w:rsid w:val="00D07FD6"/>
  </w:style>
  <w:style w:type="paragraph" w:styleId="CommentSubject">
    <w:name w:val="annotation subject"/>
    <w:basedOn w:val="CommentText"/>
    <w:next w:val="CommentText"/>
    <w:link w:val="CommentSubjectChar"/>
    <w:rsid w:val="00D07FD6"/>
    <w:rPr>
      <w:b/>
      <w:bCs/>
    </w:rPr>
  </w:style>
  <w:style w:type="character" w:customStyle="1" w:styleId="CommentSubjectChar">
    <w:name w:val="Comment Subject Char"/>
    <w:basedOn w:val="CommentTextChar"/>
    <w:link w:val="CommentSubject"/>
    <w:rsid w:val="00D07FD6"/>
    <w:rPr>
      <w:b/>
      <w:bCs/>
    </w:rPr>
  </w:style>
  <w:style w:type="table" w:styleId="TableGrid">
    <w:name w:val="Table Grid"/>
    <w:basedOn w:val="TableNormal"/>
    <w:rsid w:val="00F43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0">
    <w:name w:val="listparagraph"/>
    <w:basedOn w:val="Normal"/>
    <w:uiPriority w:val="99"/>
    <w:rsid w:val="00F43829"/>
    <w:pPr>
      <w:spacing w:after="200" w:line="276" w:lineRule="auto"/>
      <w:ind w:left="720"/>
    </w:pPr>
    <w:rPr>
      <w:rFonts w:ascii="Calibri" w:eastAsia="Calibri" w:hAnsi="Calibri"/>
      <w:sz w:val="22"/>
      <w:szCs w:val="22"/>
    </w:rPr>
  </w:style>
  <w:style w:type="paragraph" w:styleId="NoSpacing">
    <w:name w:val="No Spacing"/>
    <w:uiPriority w:val="1"/>
    <w:qFormat/>
    <w:rsid w:val="00F43829"/>
    <w:rPr>
      <w:sz w:val="24"/>
    </w:rPr>
  </w:style>
  <w:style w:type="character" w:styleId="Strong">
    <w:name w:val="Strong"/>
    <w:basedOn w:val="DefaultParagraphFont"/>
    <w:qFormat/>
    <w:rsid w:val="00907052"/>
    <w:rPr>
      <w:b/>
      <w:bCs/>
    </w:rPr>
  </w:style>
  <w:style w:type="table" w:styleId="MediumGrid3-Accent1">
    <w:name w:val="Medium Grid 3 Accent 1"/>
    <w:basedOn w:val="TableNormal"/>
    <w:uiPriority w:val="69"/>
    <w:rsid w:val="00DE5473"/>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customStyle="1" w:styleId="MediumGrid3-Accent11">
    <w:name w:val="Medium Grid 3 - Accent 11"/>
    <w:basedOn w:val="TableNormal"/>
    <w:next w:val="MediumGrid3-Accent1"/>
    <w:uiPriority w:val="69"/>
    <w:rsid w:val="00DE5473"/>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GridTable4-Accent1">
    <w:name w:val="Grid Table 4 Accent 1"/>
    <w:basedOn w:val="TableNormal"/>
    <w:uiPriority w:val="49"/>
    <w:rsid w:val="00A6453A"/>
    <w:rPr>
      <w:rFonts w:asciiTheme="minorHAnsi" w:eastAsiaTheme="minorHAnsi" w:hAnsiTheme="minorHAnsi" w:cstheme="minorBidi"/>
      <w:sz w:val="22"/>
      <w:szCs w:val="22"/>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MediumShading1-Accent11">
    <w:name w:val="Medium Shading 1 - Accent 11"/>
    <w:basedOn w:val="TableNormal"/>
    <w:next w:val="MediumShading1-Accent1"/>
    <w:uiPriority w:val="63"/>
    <w:rsid w:val="00FD166D"/>
    <w:rPr>
      <w:sz w:val="22"/>
    </w:r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D166D"/>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character" w:styleId="IntenseEmphasis">
    <w:name w:val="Intense Emphasis"/>
    <w:uiPriority w:val="21"/>
    <w:qFormat/>
    <w:rsid w:val="00D16E6A"/>
    <w:rPr>
      <w:b/>
      <w:bCs/>
      <w:caps/>
      <w:color w:val="1A495C" w:themeColor="accent1" w:themeShade="7F"/>
      <w:spacing w:val="10"/>
    </w:rPr>
  </w:style>
  <w:style w:type="paragraph" w:styleId="HTMLPreformatted">
    <w:name w:val="HTML Preformatted"/>
    <w:basedOn w:val="Normal"/>
    <w:link w:val="HTMLPreformattedChar"/>
    <w:uiPriority w:val="99"/>
    <w:unhideWhenUsed/>
    <w:rsid w:val="00260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2608E3"/>
    <w:rPr>
      <w:rFonts w:ascii="Courier New" w:hAnsi="Courier New" w:cs="Courier New"/>
    </w:rPr>
  </w:style>
  <w:style w:type="table" w:styleId="ListTable4-Accent1">
    <w:name w:val="List Table 4 Accent 1"/>
    <w:basedOn w:val="TableNormal"/>
    <w:uiPriority w:val="49"/>
    <w:rsid w:val="00520B76"/>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81118">
      <w:bodyDiv w:val="1"/>
      <w:marLeft w:val="0"/>
      <w:marRight w:val="0"/>
      <w:marTop w:val="0"/>
      <w:marBottom w:val="0"/>
      <w:divBdr>
        <w:top w:val="none" w:sz="0" w:space="0" w:color="auto"/>
        <w:left w:val="none" w:sz="0" w:space="0" w:color="auto"/>
        <w:bottom w:val="none" w:sz="0" w:space="0" w:color="auto"/>
        <w:right w:val="none" w:sz="0" w:space="0" w:color="auto"/>
      </w:divBdr>
    </w:div>
    <w:div w:id="378632347">
      <w:bodyDiv w:val="1"/>
      <w:marLeft w:val="0"/>
      <w:marRight w:val="0"/>
      <w:marTop w:val="0"/>
      <w:marBottom w:val="0"/>
      <w:divBdr>
        <w:top w:val="none" w:sz="0" w:space="0" w:color="auto"/>
        <w:left w:val="none" w:sz="0" w:space="0" w:color="auto"/>
        <w:bottom w:val="none" w:sz="0" w:space="0" w:color="auto"/>
        <w:right w:val="none" w:sz="0" w:space="0" w:color="auto"/>
      </w:divBdr>
    </w:div>
    <w:div w:id="491605457">
      <w:bodyDiv w:val="1"/>
      <w:marLeft w:val="0"/>
      <w:marRight w:val="0"/>
      <w:marTop w:val="0"/>
      <w:marBottom w:val="0"/>
      <w:divBdr>
        <w:top w:val="none" w:sz="0" w:space="0" w:color="auto"/>
        <w:left w:val="none" w:sz="0" w:space="0" w:color="auto"/>
        <w:bottom w:val="none" w:sz="0" w:space="0" w:color="auto"/>
        <w:right w:val="none" w:sz="0" w:space="0" w:color="auto"/>
      </w:divBdr>
    </w:div>
    <w:div w:id="528684417">
      <w:bodyDiv w:val="1"/>
      <w:marLeft w:val="0"/>
      <w:marRight w:val="0"/>
      <w:marTop w:val="0"/>
      <w:marBottom w:val="0"/>
      <w:divBdr>
        <w:top w:val="none" w:sz="0" w:space="0" w:color="auto"/>
        <w:left w:val="none" w:sz="0" w:space="0" w:color="auto"/>
        <w:bottom w:val="none" w:sz="0" w:space="0" w:color="auto"/>
        <w:right w:val="none" w:sz="0" w:space="0" w:color="auto"/>
      </w:divBdr>
    </w:div>
    <w:div w:id="690180726">
      <w:bodyDiv w:val="1"/>
      <w:marLeft w:val="0"/>
      <w:marRight w:val="0"/>
      <w:marTop w:val="0"/>
      <w:marBottom w:val="0"/>
      <w:divBdr>
        <w:top w:val="none" w:sz="0" w:space="0" w:color="auto"/>
        <w:left w:val="none" w:sz="0" w:space="0" w:color="auto"/>
        <w:bottom w:val="none" w:sz="0" w:space="0" w:color="auto"/>
        <w:right w:val="none" w:sz="0" w:space="0" w:color="auto"/>
      </w:divBdr>
    </w:div>
    <w:div w:id="782850207">
      <w:bodyDiv w:val="1"/>
      <w:marLeft w:val="0"/>
      <w:marRight w:val="0"/>
      <w:marTop w:val="0"/>
      <w:marBottom w:val="0"/>
      <w:divBdr>
        <w:top w:val="none" w:sz="0" w:space="0" w:color="auto"/>
        <w:left w:val="none" w:sz="0" w:space="0" w:color="auto"/>
        <w:bottom w:val="none" w:sz="0" w:space="0" w:color="auto"/>
        <w:right w:val="none" w:sz="0" w:space="0" w:color="auto"/>
      </w:divBdr>
    </w:div>
    <w:div w:id="787700305">
      <w:bodyDiv w:val="1"/>
      <w:marLeft w:val="0"/>
      <w:marRight w:val="0"/>
      <w:marTop w:val="0"/>
      <w:marBottom w:val="0"/>
      <w:divBdr>
        <w:top w:val="none" w:sz="0" w:space="0" w:color="auto"/>
        <w:left w:val="none" w:sz="0" w:space="0" w:color="auto"/>
        <w:bottom w:val="none" w:sz="0" w:space="0" w:color="auto"/>
        <w:right w:val="none" w:sz="0" w:space="0" w:color="auto"/>
      </w:divBdr>
    </w:div>
    <w:div w:id="835846466">
      <w:bodyDiv w:val="1"/>
      <w:marLeft w:val="0"/>
      <w:marRight w:val="0"/>
      <w:marTop w:val="0"/>
      <w:marBottom w:val="0"/>
      <w:divBdr>
        <w:top w:val="none" w:sz="0" w:space="0" w:color="auto"/>
        <w:left w:val="none" w:sz="0" w:space="0" w:color="auto"/>
        <w:bottom w:val="none" w:sz="0" w:space="0" w:color="auto"/>
        <w:right w:val="none" w:sz="0" w:space="0" w:color="auto"/>
      </w:divBdr>
    </w:div>
    <w:div w:id="968900951">
      <w:bodyDiv w:val="1"/>
      <w:marLeft w:val="0"/>
      <w:marRight w:val="0"/>
      <w:marTop w:val="0"/>
      <w:marBottom w:val="0"/>
      <w:divBdr>
        <w:top w:val="none" w:sz="0" w:space="0" w:color="auto"/>
        <w:left w:val="none" w:sz="0" w:space="0" w:color="auto"/>
        <w:bottom w:val="none" w:sz="0" w:space="0" w:color="auto"/>
        <w:right w:val="none" w:sz="0" w:space="0" w:color="auto"/>
      </w:divBdr>
    </w:div>
    <w:div w:id="1224566864">
      <w:bodyDiv w:val="1"/>
      <w:marLeft w:val="0"/>
      <w:marRight w:val="0"/>
      <w:marTop w:val="0"/>
      <w:marBottom w:val="0"/>
      <w:divBdr>
        <w:top w:val="none" w:sz="0" w:space="0" w:color="auto"/>
        <w:left w:val="none" w:sz="0" w:space="0" w:color="auto"/>
        <w:bottom w:val="none" w:sz="0" w:space="0" w:color="auto"/>
        <w:right w:val="none" w:sz="0" w:space="0" w:color="auto"/>
      </w:divBdr>
    </w:div>
    <w:div w:id="1317341694">
      <w:bodyDiv w:val="1"/>
      <w:marLeft w:val="0"/>
      <w:marRight w:val="0"/>
      <w:marTop w:val="0"/>
      <w:marBottom w:val="0"/>
      <w:divBdr>
        <w:top w:val="none" w:sz="0" w:space="0" w:color="auto"/>
        <w:left w:val="none" w:sz="0" w:space="0" w:color="auto"/>
        <w:bottom w:val="none" w:sz="0" w:space="0" w:color="auto"/>
        <w:right w:val="none" w:sz="0" w:space="0" w:color="auto"/>
      </w:divBdr>
    </w:div>
    <w:div w:id="1320420533">
      <w:bodyDiv w:val="1"/>
      <w:marLeft w:val="0"/>
      <w:marRight w:val="0"/>
      <w:marTop w:val="0"/>
      <w:marBottom w:val="0"/>
      <w:divBdr>
        <w:top w:val="none" w:sz="0" w:space="0" w:color="auto"/>
        <w:left w:val="none" w:sz="0" w:space="0" w:color="auto"/>
        <w:bottom w:val="none" w:sz="0" w:space="0" w:color="auto"/>
        <w:right w:val="none" w:sz="0" w:space="0" w:color="auto"/>
      </w:divBdr>
    </w:div>
    <w:div w:id="1365516656">
      <w:bodyDiv w:val="1"/>
      <w:marLeft w:val="0"/>
      <w:marRight w:val="0"/>
      <w:marTop w:val="0"/>
      <w:marBottom w:val="0"/>
      <w:divBdr>
        <w:top w:val="none" w:sz="0" w:space="0" w:color="auto"/>
        <w:left w:val="none" w:sz="0" w:space="0" w:color="auto"/>
        <w:bottom w:val="none" w:sz="0" w:space="0" w:color="auto"/>
        <w:right w:val="none" w:sz="0" w:space="0" w:color="auto"/>
      </w:divBdr>
    </w:div>
    <w:div w:id="1397781786">
      <w:bodyDiv w:val="1"/>
      <w:marLeft w:val="0"/>
      <w:marRight w:val="0"/>
      <w:marTop w:val="0"/>
      <w:marBottom w:val="0"/>
      <w:divBdr>
        <w:top w:val="none" w:sz="0" w:space="0" w:color="auto"/>
        <w:left w:val="none" w:sz="0" w:space="0" w:color="auto"/>
        <w:bottom w:val="none" w:sz="0" w:space="0" w:color="auto"/>
        <w:right w:val="none" w:sz="0" w:space="0" w:color="auto"/>
      </w:divBdr>
    </w:div>
    <w:div w:id="1446726438">
      <w:bodyDiv w:val="1"/>
      <w:marLeft w:val="0"/>
      <w:marRight w:val="0"/>
      <w:marTop w:val="0"/>
      <w:marBottom w:val="0"/>
      <w:divBdr>
        <w:top w:val="none" w:sz="0" w:space="0" w:color="auto"/>
        <w:left w:val="none" w:sz="0" w:space="0" w:color="auto"/>
        <w:bottom w:val="none" w:sz="0" w:space="0" w:color="auto"/>
        <w:right w:val="none" w:sz="0" w:space="0" w:color="auto"/>
      </w:divBdr>
    </w:div>
    <w:div w:id="1476949642">
      <w:bodyDiv w:val="1"/>
      <w:marLeft w:val="0"/>
      <w:marRight w:val="0"/>
      <w:marTop w:val="0"/>
      <w:marBottom w:val="0"/>
      <w:divBdr>
        <w:top w:val="none" w:sz="0" w:space="0" w:color="auto"/>
        <w:left w:val="none" w:sz="0" w:space="0" w:color="auto"/>
        <w:bottom w:val="none" w:sz="0" w:space="0" w:color="auto"/>
        <w:right w:val="none" w:sz="0" w:space="0" w:color="auto"/>
      </w:divBdr>
    </w:div>
    <w:div w:id="1634753536">
      <w:bodyDiv w:val="1"/>
      <w:marLeft w:val="0"/>
      <w:marRight w:val="0"/>
      <w:marTop w:val="0"/>
      <w:marBottom w:val="0"/>
      <w:divBdr>
        <w:top w:val="none" w:sz="0" w:space="0" w:color="auto"/>
        <w:left w:val="none" w:sz="0" w:space="0" w:color="auto"/>
        <w:bottom w:val="none" w:sz="0" w:space="0" w:color="auto"/>
        <w:right w:val="none" w:sz="0" w:space="0" w:color="auto"/>
      </w:divBdr>
      <w:divsChild>
        <w:div w:id="1912766399">
          <w:marLeft w:val="0"/>
          <w:marRight w:val="0"/>
          <w:marTop w:val="0"/>
          <w:marBottom w:val="0"/>
          <w:divBdr>
            <w:top w:val="none" w:sz="0" w:space="0" w:color="auto"/>
            <w:left w:val="none" w:sz="0" w:space="0" w:color="auto"/>
            <w:bottom w:val="none" w:sz="0" w:space="0" w:color="auto"/>
            <w:right w:val="none" w:sz="0" w:space="0" w:color="auto"/>
          </w:divBdr>
          <w:divsChild>
            <w:div w:id="1025789847">
              <w:marLeft w:val="0"/>
              <w:marRight w:val="0"/>
              <w:marTop w:val="0"/>
              <w:marBottom w:val="0"/>
              <w:divBdr>
                <w:top w:val="none" w:sz="0" w:space="0" w:color="auto"/>
                <w:left w:val="none" w:sz="0" w:space="0" w:color="auto"/>
                <w:bottom w:val="none" w:sz="0" w:space="0" w:color="auto"/>
                <w:right w:val="none" w:sz="0" w:space="0" w:color="auto"/>
              </w:divBdr>
              <w:divsChild>
                <w:div w:id="508181883">
                  <w:marLeft w:val="0"/>
                  <w:marRight w:val="0"/>
                  <w:marTop w:val="0"/>
                  <w:marBottom w:val="0"/>
                  <w:divBdr>
                    <w:top w:val="none" w:sz="0" w:space="0" w:color="auto"/>
                    <w:left w:val="none" w:sz="0" w:space="0" w:color="auto"/>
                    <w:bottom w:val="none" w:sz="0" w:space="0" w:color="auto"/>
                    <w:right w:val="none" w:sz="0" w:space="0" w:color="auto"/>
                  </w:divBdr>
                  <w:divsChild>
                    <w:div w:id="1759130572">
                      <w:marLeft w:val="0"/>
                      <w:marRight w:val="0"/>
                      <w:marTop w:val="0"/>
                      <w:marBottom w:val="0"/>
                      <w:divBdr>
                        <w:top w:val="none" w:sz="0" w:space="0" w:color="auto"/>
                        <w:left w:val="none" w:sz="0" w:space="0" w:color="auto"/>
                        <w:bottom w:val="none" w:sz="0" w:space="0" w:color="auto"/>
                        <w:right w:val="none" w:sz="0" w:space="0" w:color="auto"/>
                      </w:divBdr>
                      <w:divsChild>
                        <w:div w:id="162550375">
                          <w:marLeft w:val="0"/>
                          <w:marRight w:val="0"/>
                          <w:marTop w:val="0"/>
                          <w:marBottom w:val="0"/>
                          <w:divBdr>
                            <w:top w:val="none" w:sz="0" w:space="0" w:color="auto"/>
                            <w:left w:val="none" w:sz="0" w:space="0" w:color="auto"/>
                            <w:bottom w:val="none" w:sz="0" w:space="0" w:color="auto"/>
                            <w:right w:val="none" w:sz="0" w:space="0" w:color="auto"/>
                          </w:divBdr>
                          <w:divsChild>
                            <w:div w:id="1948804577">
                              <w:marLeft w:val="0"/>
                              <w:marRight w:val="-14940"/>
                              <w:marTop w:val="0"/>
                              <w:marBottom w:val="0"/>
                              <w:divBdr>
                                <w:top w:val="none" w:sz="0" w:space="0" w:color="auto"/>
                                <w:left w:val="none" w:sz="0" w:space="0" w:color="auto"/>
                                <w:bottom w:val="none" w:sz="0" w:space="0" w:color="auto"/>
                                <w:right w:val="none" w:sz="0" w:space="0" w:color="auto"/>
                              </w:divBdr>
                              <w:divsChild>
                                <w:div w:id="1139766483">
                                  <w:marLeft w:val="0"/>
                                  <w:marRight w:val="-14940"/>
                                  <w:marTop w:val="0"/>
                                  <w:marBottom w:val="0"/>
                                  <w:divBdr>
                                    <w:top w:val="none" w:sz="0" w:space="0" w:color="auto"/>
                                    <w:left w:val="none" w:sz="0" w:space="0" w:color="auto"/>
                                    <w:bottom w:val="none" w:sz="0" w:space="0" w:color="auto"/>
                                    <w:right w:val="none" w:sz="0" w:space="0" w:color="auto"/>
                                  </w:divBdr>
                                  <w:divsChild>
                                    <w:div w:id="2013753664">
                                      <w:marLeft w:val="0"/>
                                      <w:marRight w:val="0"/>
                                      <w:marTop w:val="0"/>
                                      <w:marBottom w:val="0"/>
                                      <w:divBdr>
                                        <w:top w:val="none" w:sz="0" w:space="0" w:color="auto"/>
                                        <w:left w:val="none" w:sz="0" w:space="0" w:color="auto"/>
                                        <w:bottom w:val="none" w:sz="0" w:space="0" w:color="auto"/>
                                        <w:right w:val="none" w:sz="0" w:space="0" w:color="auto"/>
                                      </w:divBdr>
                                      <w:divsChild>
                                        <w:div w:id="166407705">
                                          <w:marLeft w:val="0"/>
                                          <w:marRight w:val="0"/>
                                          <w:marTop w:val="0"/>
                                          <w:marBottom w:val="0"/>
                                          <w:divBdr>
                                            <w:top w:val="none" w:sz="0" w:space="0" w:color="auto"/>
                                            <w:left w:val="none" w:sz="0" w:space="0" w:color="auto"/>
                                            <w:bottom w:val="none" w:sz="0" w:space="0" w:color="auto"/>
                                            <w:right w:val="none" w:sz="0" w:space="0" w:color="auto"/>
                                          </w:divBdr>
                                          <w:divsChild>
                                            <w:div w:id="316111634">
                                              <w:marLeft w:val="0"/>
                                              <w:marRight w:val="0"/>
                                              <w:marTop w:val="0"/>
                                              <w:marBottom w:val="0"/>
                                              <w:divBdr>
                                                <w:top w:val="none" w:sz="0" w:space="0" w:color="auto"/>
                                                <w:left w:val="none" w:sz="0" w:space="0" w:color="auto"/>
                                                <w:bottom w:val="none" w:sz="0" w:space="0" w:color="auto"/>
                                                <w:right w:val="none" w:sz="0" w:space="0" w:color="auto"/>
                                              </w:divBdr>
                                              <w:divsChild>
                                                <w:div w:id="158615247">
                                                  <w:marLeft w:val="0"/>
                                                  <w:marRight w:val="0"/>
                                                  <w:marTop w:val="0"/>
                                                  <w:marBottom w:val="0"/>
                                                  <w:divBdr>
                                                    <w:top w:val="none" w:sz="0" w:space="0" w:color="auto"/>
                                                    <w:left w:val="none" w:sz="0" w:space="0" w:color="auto"/>
                                                    <w:bottom w:val="none" w:sz="0" w:space="0" w:color="auto"/>
                                                    <w:right w:val="none" w:sz="0" w:space="0" w:color="auto"/>
                                                  </w:divBdr>
                                                  <w:divsChild>
                                                    <w:div w:id="959804154">
                                                      <w:marLeft w:val="0"/>
                                                      <w:marRight w:val="0"/>
                                                      <w:marTop w:val="0"/>
                                                      <w:marBottom w:val="0"/>
                                                      <w:divBdr>
                                                        <w:top w:val="none" w:sz="0" w:space="0" w:color="auto"/>
                                                        <w:left w:val="none" w:sz="0" w:space="0" w:color="auto"/>
                                                        <w:bottom w:val="none" w:sz="0" w:space="0" w:color="auto"/>
                                                        <w:right w:val="none" w:sz="0" w:space="0" w:color="auto"/>
                                                      </w:divBdr>
                                                      <w:divsChild>
                                                        <w:div w:id="2111005601">
                                                          <w:marLeft w:val="0"/>
                                                          <w:marRight w:val="0"/>
                                                          <w:marTop w:val="0"/>
                                                          <w:marBottom w:val="0"/>
                                                          <w:divBdr>
                                                            <w:top w:val="none" w:sz="0" w:space="0" w:color="auto"/>
                                                            <w:left w:val="none" w:sz="0" w:space="0" w:color="auto"/>
                                                            <w:bottom w:val="none" w:sz="0" w:space="0" w:color="auto"/>
                                                            <w:right w:val="none" w:sz="0" w:space="0" w:color="auto"/>
                                                          </w:divBdr>
                                                          <w:divsChild>
                                                            <w:div w:id="215243992">
                                                              <w:marLeft w:val="0"/>
                                                              <w:marRight w:val="0"/>
                                                              <w:marTop w:val="0"/>
                                                              <w:marBottom w:val="0"/>
                                                              <w:divBdr>
                                                                <w:top w:val="none" w:sz="0" w:space="0" w:color="auto"/>
                                                                <w:left w:val="none" w:sz="0" w:space="0" w:color="auto"/>
                                                                <w:bottom w:val="none" w:sz="0" w:space="0" w:color="auto"/>
                                                                <w:right w:val="none" w:sz="0" w:space="0" w:color="auto"/>
                                                              </w:divBdr>
                                                              <w:divsChild>
                                                                <w:div w:id="15801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6399996">
      <w:bodyDiv w:val="1"/>
      <w:marLeft w:val="0"/>
      <w:marRight w:val="0"/>
      <w:marTop w:val="0"/>
      <w:marBottom w:val="0"/>
      <w:divBdr>
        <w:top w:val="none" w:sz="0" w:space="0" w:color="auto"/>
        <w:left w:val="none" w:sz="0" w:space="0" w:color="auto"/>
        <w:bottom w:val="none" w:sz="0" w:space="0" w:color="auto"/>
        <w:right w:val="none" w:sz="0" w:space="0" w:color="auto"/>
      </w:divBdr>
    </w:div>
    <w:div w:id="1676155110">
      <w:bodyDiv w:val="1"/>
      <w:marLeft w:val="0"/>
      <w:marRight w:val="0"/>
      <w:marTop w:val="0"/>
      <w:marBottom w:val="0"/>
      <w:divBdr>
        <w:top w:val="none" w:sz="0" w:space="0" w:color="auto"/>
        <w:left w:val="none" w:sz="0" w:space="0" w:color="auto"/>
        <w:bottom w:val="none" w:sz="0" w:space="0" w:color="auto"/>
        <w:right w:val="none" w:sz="0" w:space="0" w:color="auto"/>
      </w:divBdr>
    </w:div>
    <w:div w:id="1698583425">
      <w:bodyDiv w:val="1"/>
      <w:marLeft w:val="0"/>
      <w:marRight w:val="0"/>
      <w:marTop w:val="0"/>
      <w:marBottom w:val="0"/>
      <w:divBdr>
        <w:top w:val="none" w:sz="0" w:space="0" w:color="auto"/>
        <w:left w:val="none" w:sz="0" w:space="0" w:color="auto"/>
        <w:bottom w:val="none" w:sz="0" w:space="0" w:color="auto"/>
        <w:right w:val="none" w:sz="0" w:space="0" w:color="auto"/>
      </w:divBdr>
    </w:div>
    <w:div w:id="1825386824">
      <w:bodyDiv w:val="1"/>
      <w:marLeft w:val="0"/>
      <w:marRight w:val="0"/>
      <w:marTop w:val="0"/>
      <w:marBottom w:val="0"/>
      <w:divBdr>
        <w:top w:val="none" w:sz="0" w:space="0" w:color="auto"/>
        <w:left w:val="none" w:sz="0" w:space="0" w:color="auto"/>
        <w:bottom w:val="none" w:sz="0" w:space="0" w:color="auto"/>
        <w:right w:val="none" w:sz="0" w:space="0" w:color="auto"/>
      </w:divBdr>
    </w:div>
    <w:div w:id="190298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image" Target="media/image11.em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9.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Slic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9C17227CDB58FC4DA813CCEC184DE042" ma:contentTypeVersion="2" ma:contentTypeDescription="A Microsoft InfoPath Form Template." ma:contentTypeScope="" ma:versionID="3f9a1ff4f57b25baa18211a9a0f3f3c9">
  <xsd:schema xmlns:xsd="http://www.w3.org/2001/XMLSchema" xmlns:xs="http://www.w3.org/2001/XMLSchema" xmlns:p="http://schemas.microsoft.com/office/2006/metadata/properties" xmlns:ns2="85c07308-9da6-48c0-9ea3-41ad2a96699a" targetNamespace="http://schemas.microsoft.com/office/2006/metadata/properties" ma:root="true" ma:fieldsID="63ad97f99419283aa0f96d60592d0710" ns2:_="">
    <xsd:import namespace="85c07308-9da6-48c0-9ea3-41ad2a96699a"/>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c07308-9da6-48c0-9ea3-41ad2a96699a" elementFormDefault="qualified">
    <xsd:import namespace="http://schemas.microsoft.com/office/2006/documentManagement/types"/>
    <xsd:import namespace="http://schemas.microsoft.com/office/infopath/2007/PartnerControls"/>
    <xsd:element name="FormName" ma:index="8" nillable="true" ma:displayName="Form Name" ma:internalName="FormName">
      <xsd:simpleType>
        <xsd:restriction base="dms:Text"/>
      </xsd:simpleType>
    </xsd:element>
    <xsd:element name="FormCategory" ma:index="9" nillable="true" ma:displayName="Form Category" ma:format="Dropdown" ma:internalName="FormCategory">
      <xsd:simpleType>
        <xsd:restriction base="dms:Choice">
          <xsd:enumeration value="Employee Services/Information"/>
          <xsd:enumeration value="Engineering &amp; Construction"/>
          <xsd:enumeration value="Finance &amp; Administration"/>
          <xsd:enumeration value="Governance &amp; Legal"/>
          <xsd:enumeration value="Regional Operations"/>
          <xsd:enumeration value="Technology"/>
        </xsd:restriction>
      </xsd:simpleType>
    </xsd:element>
    <xsd:element name="FormVersion" ma:index="10" nillable="true" ma:displayName="Form Version" ma:internalName="FormVersion">
      <xsd:simpleType>
        <xsd:restriction base="dms:Text"/>
      </xsd:simpleType>
    </xsd:element>
    <xsd:element name="FormId" ma:index="11" nillable="true" ma:displayName="Form ID" ma:internalName="FormId">
      <xsd:simpleType>
        <xsd:restriction base="dms:Text"/>
      </xsd:simpleType>
    </xsd:element>
    <xsd:element name="FormLocale" ma:index="12" nillable="true" ma:displayName="Form Locale" ma:internalName="FormLocale">
      <xsd:simpleType>
        <xsd:restriction base="dms:Text"/>
      </xsd:simpleType>
    </xsd:element>
    <xsd:element name="FormDescription" ma:index="13" nillable="true" ma:displayName="Description" ma:internalName="FormDescription">
      <xsd:simpleType>
        <xsd:restriction base="dms:Text">
          <xsd:maxLength value="255"/>
        </xsd:restriction>
      </xsd:simpleType>
    </xsd:element>
    <xsd:element name="CustomContentTypeId" ma:index="14" nillable="true" ma:displayName="Content Type ID" ma:hidden="true" ma:internalName="CustomContentTypeId">
      <xsd:simpleType>
        <xsd:restriction base="dms:Text"/>
      </xsd:simpleType>
    </xsd:element>
    <xsd:element name="ShowInCatalog" ma:index="15"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rmName xmlns="85c07308-9da6-48c0-9ea3-41ad2a96699a">Background Attachment Template</FormName>
    <FormId xmlns="85c07308-9da6-48c0-9ea3-41ad2a96699a" xsi:nil="true"/>
    <CustomContentTypeId xmlns="85c07308-9da6-48c0-9ea3-41ad2a96699a" xsi:nil="true"/>
    <FormCategory xmlns="85c07308-9da6-48c0-9ea3-41ad2a96699a">Governance &amp; Legal</FormCategory>
    <FormVersion xmlns="85c07308-9da6-48c0-9ea3-41ad2a96699a" xsi:nil="true"/>
    <FormLocale xmlns="85c07308-9da6-48c0-9ea3-41ad2a96699a" xsi:nil="true"/>
    <ShowInCatalog xmlns="85c07308-9da6-48c0-9ea3-41ad2a96699a">true</ShowInCatalog>
    <FormDescription xmlns="85c07308-9da6-48c0-9ea3-41ad2a96699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40B85-A09A-4CC5-8148-4028CFA35DB1}">
  <ds:schemaRefs>
    <ds:schemaRef ds:uri="http://schemas.microsoft.com/sharepoint/v3/contenttype/forms"/>
  </ds:schemaRefs>
</ds:datastoreItem>
</file>

<file path=customXml/itemProps2.xml><?xml version="1.0" encoding="utf-8"?>
<ds:datastoreItem xmlns:ds="http://schemas.openxmlformats.org/officeDocument/2006/customXml" ds:itemID="{BF6CDA7C-31F0-4657-857D-711A3BF06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c07308-9da6-48c0-9ea3-41ad2a966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49B578-66FB-489F-8F7F-B09143CC8C96}">
  <ds:schemaRefs>
    <ds:schemaRef ds:uri="http://purl.org/dc/elements/1.1/"/>
    <ds:schemaRef ds:uri="http://schemas.microsoft.com/office/2006/metadata/properties"/>
    <ds:schemaRef ds:uri="http://www.w3.org/XML/1998/namespac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5c07308-9da6-48c0-9ea3-41ad2a96699a"/>
    <ds:schemaRef ds:uri="http://purl.org/dc/dcmitype/"/>
  </ds:schemaRefs>
</ds:datastoreItem>
</file>

<file path=customXml/itemProps4.xml><?xml version="1.0" encoding="utf-8"?>
<ds:datastoreItem xmlns:ds="http://schemas.openxmlformats.org/officeDocument/2006/customXml" ds:itemID="{DFC4B068-5A9F-47FA-B4CA-E35940A91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24</Pages>
  <Words>2516</Words>
  <Characters>15356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Background Attachment Template</vt:lpstr>
    </vt:vector>
  </TitlesOfParts>
  <Company>Dell Computer Corporation</Company>
  <LinksUpToDate>false</LinksUpToDate>
  <CharactersWithSpaces>17837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Attachment Template</dc:title>
  <dc:creator>Patti Bonawitz</dc:creator>
  <cp:lastModifiedBy>Jennifer Hy-Luk</cp:lastModifiedBy>
  <cp:revision>19</cp:revision>
  <cp:lastPrinted>2019-06-04T20:17:00Z</cp:lastPrinted>
  <dcterms:created xsi:type="dcterms:W3CDTF">2019-05-28T17:45:00Z</dcterms:created>
  <dcterms:modified xsi:type="dcterms:W3CDTF">2019-06-04T20:17:00Z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0x010100F8EF98760CBA4A94994F13BA881038FA009C17227CDB58FC4DA813CCEC184DE042</vt:lpwstr>
  </property>
  <property fmtid="{D5CDD505-2E9C-101B-9397-08002B2CF9AE}" pid="3" name="_dlc_DocIdItemGuid">
    <vt:lpwstr>9dbd30a9-3edb-42be-a4cc-ddc3469c2ad0</vt:lpwstr>
  </property>
</Properties>
</file>